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b w:val="0"/>
          <w:caps w:val="0"/>
          <w:sz w:val="22"/>
        </w:rPr>
        <w:id w:val="-2119134807"/>
        <w:docPartObj>
          <w:docPartGallery w:val="Cover Pages"/>
          <w:docPartUnique/>
        </w:docPartObj>
      </w:sdtPr>
      <w:sdtEndPr>
        <w:rPr>
          <w:rFonts w:ascii="Times New Roman" w:eastAsiaTheme="minorHAnsi" w:hAnsi="Times New Roman" w:cs="Times New Roman"/>
          <w:sz w:val="24"/>
          <w:szCs w:val="24"/>
        </w:rPr>
      </w:sdtEndPr>
      <w:sdtContent>
        <w:tbl>
          <w:tblPr>
            <w:tblW w:w="5000" w:type="pct"/>
            <w:jc w:val="center"/>
            <w:tblLook w:val="04A0" w:firstRow="1" w:lastRow="0" w:firstColumn="1" w:lastColumn="0" w:noHBand="0" w:noVBand="1"/>
          </w:tblPr>
          <w:tblGrid>
            <w:gridCol w:w="9288"/>
          </w:tblGrid>
          <w:tr w:rsidR="00BD5839">
            <w:trPr>
              <w:trHeight w:val="2880"/>
              <w:jc w:val="center"/>
            </w:trPr>
            <w:tc>
              <w:tcPr>
                <w:tcW w:w="5000" w:type="pct"/>
              </w:tcPr>
              <w:p w:rsidR="00BD5839" w:rsidRDefault="00BD5839" w:rsidP="00BD5839">
                <w:pPr>
                  <w:pStyle w:val="Bezmezer"/>
                  <w:jc w:val="center"/>
                  <w:rPr>
                    <w:rFonts w:asciiTheme="majorHAnsi" w:eastAsiaTheme="majorEastAsia" w:hAnsiTheme="majorHAnsi" w:cstheme="majorBidi"/>
                    <w:caps w:val="0"/>
                  </w:rPr>
                </w:pPr>
              </w:p>
            </w:tc>
          </w:tr>
          <w:tr w:rsidR="00BD5839">
            <w:trPr>
              <w:trHeight w:val="1440"/>
              <w:jc w:val="center"/>
            </w:trPr>
            <w:sdt>
              <w:sdtPr>
                <w:rPr>
                  <w:rFonts w:asciiTheme="majorHAnsi" w:eastAsiaTheme="majorEastAsia" w:hAnsiTheme="majorHAnsi" w:cstheme="majorBidi"/>
                  <w:sz w:val="80"/>
                  <w:szCs w:val="80"/>
                </w:rPr>
                <w:alias w:val="Název"/>
                <w:id w:val="15524250"/>
                <w:placeholder>
                  <w:docPart w:val="C13ABEEA0969492AA6D4AD628982EDBF"/>
                </w:placeholder>
                <w:dataBinding w:prefixMappings="xmlns:ns0='http://schemas.openxmlformats.org/package/2006/metadata/core-properties' xmlns:ns1='http://purl.org/dc/elements/1.1/'" w:xpath="/ns0:coreProperties[1]/ns1:title[1]" w:storeItemID="{6C3C8BC8-F283-45AE-878A-BAB7291924A1}"/>
                <w:text/>
              </w:sdtPr>
              <w:sdtEndPr/>
              <w:sdtContent>
                <w:tc>
                  <w:tcPr>
                    <w:tcW w:w="5000" w:type="pct"/>
                    <w:tcBorders>
                      <w:bottom w:val="single" w:sz="4" w:space="0" w:color="4F81BD" w:themeColor="accent1"/>
                    </w:tcBorders>
                    <w:vAlign w:val="center"/>
                  </w:tcPr>
                  <w:p w:rsidR="00BD5839" w:rsidRDefault="00BD5839" w:rsidP="00BD5839">
                    <w:pPr>
                      <w:pStyle w:val="Bezmezer"/>
                      <w:jc w:val="center"/>
                      <w:rPr>
                        <w:rFonts w:asciiTheme="majorHAnsi" w:eastAsiaTheme="majorEastAsia" w:hAnsiTheme="majorHAnsi" w:cstheme="majorBidi"/>
                        <w:sz w:val="80"/>
                        <w:szCs w:val="80"/>
                      </w:rPr>
                    </w:pPr>
                    <w:r>
                      <w:rPr>
                        <w:rFonts w:asciiTheme="majorHAnsi" w:eastAsiaTheme="majorEastAsia" w:hAnsiTheme="majorHAnsi" w:cstheme="majorBidi"/>
                        <w:sz w:val="80"/>
                        <w:szCs w:val="80"/>
                      </w:rPr>
                      <w:t>Globalizace</w:t>
                    </w:r>
                  </w:p>
                </w:tc>
              </w:sdtContent>
            </w:sdt>
          </w:tr>
          <w:tr w:rsidR="00BD5839">
            <w:trPr>
              <w:trHeight w:val="720"/>
              <w:jc w:val="center"/>
            </w:trPr>
            <w:sdt>
              <w:sdtPr>
                <w:rPr>
                  <w:rFonts w:asciiTheme="majorHAnsi" w:eastAsiaTheme="majorEastAsia" w:hAnsiTheme="majorHAnsi" w:cstheme="majorBidi"/>
                  <w:sz w:val="44"/>
                  <w:szCs w:val="44"/>
                </w:rPr>
                <w:alias w:val="Podtitul"/>
                <w:id w:val="15524255"/>
                <w:dataBinding w:prefixMappings="xmlns:ns0='http://schemas.openxmlformats.org/package/2006/metadata/core-properties' xmlns:ns1='http://purl.org/dc/elements/1.1/'" w:xpath="/ns0:coreProperties[1]/ns1:subject[1]" w:storeItemID="{6C3C8BC8-F283-45AE-878A-BAB7291924A1}"/>
                <w:text/>
              </w:sdtPr>
              <w:sdtEndPr/>
              <w:sdtContent>
                <w:tc>
                  <w:tcPr>
                    <w:tcW w:w="5000" w:type="pct"/>
                    <w:tcBorders>
                      <w:top w:val="single" w:sz="4" w:space="0" w:color="4F81BD" w:themeColor="accent1"/>
                    </w:tcBorders>
                    <w:vAlign w:val="center"/>
                  </w:tcPr>
                  <w:p w:rsidR="00BD5839" w:rsidRDefault="00BD5839" w:rsidP="00BD5839">
                    <w:pPr>
                      <w:pStyle w:val="Bezmezer"/>
                      <w:jc w:val="center"/>
                      <w:rPr>
                        <w:rFonts w:asciiTheme="majorHAnsi" w:eastAsiaTheme="majorEastAsia" w:hAnsiTheme="majorHAnsi" w:cstheme="majorBidi"/>
                        <w:sz w:val="44"/>
                        <w:szCs w:val="44"/>
                      </w:rPr>
                    </w:pPr>
                    <w:r>
                      <w:rPr>
                        <w:rFonts w:asciiTheme="majorHAnsi" w:eastAsiaTheme="majorEastAsia" w:hAnsiTheme="majorHAnsi" w:cstheme="majorBidi"/>
                        <w:sz w:val="44"/>
                        <w:szCs w:val="44"/>
                      </w:rPr>
                      <w:t>sborník ke globalizačnímu semináři</w:t>
                    </w:r>
                  </w:p>
                </w:tc>
              </w:sdtContent>
            </w:sdt>
          </w:tr>
          <w:tr w:rsidR="00BD5839">
            <w:trPr>
              <w:trHeight w:val="360"/>
              <w:jc w:val="center"/>
            </w:trPr>
            <w:tc>
              <w:tcPr>
                <w:tcW w:w="5000" w:type="pct"/>
                <w:vAlign w:val="center"/>
              </w:tcPr>
              <w:p w:rsidR="00BD5839" w:rsidRDefault="00BD5839">
                <w:pPr>
                  <w:pStyle w:val="Bezmezer"/>
                  <w:jc w:val="center"/>
                </w:pPr>
              </w:p>
            </w:tc>
          </w:tr>
          <w:tr w:rsidR="00BD5839">
            <w:trPr>
              <w:trHeight w:val="360"/>
              <w:jc w:val="center"/>
            </w:trPr>
            <w:sdt>
              <w:sdtPr>
                <w:rPr>
                  <w:b w:val="0"/>
                  <w:bCs/>
                </w:rPr>
                <w:alias w:val="Autor"/>
                <w:id w:val="15524260"/>
                <w:dataBinding w:prefixMappings="xmlns:ns0='http://schemas.openxmlformats.org/package/2006/metadata/core-properties' xmlns:ns1='http://purl.org/dc/elements/1.1/'" w:xpath="/ns0:coreProperties[1]/ns1:creator[1]" w:storeItemID="{6C3C8BC8-F283-45AE-878A-BAB7291924A1}"/>
                <w:text/>
              </w:sdtPr>
              <w:sdtEndPr/>
              <w:sdtContent>
                <w:tc>
                  <w:tcPr>
                    <w:tcW w:w="5000" w:type="pct"/>
                    <w:vAlign w:val="center"/>
                  </w:tcPr>
                  <w:p w:rsidR="00BD5839" w:rsidRDefault="00BD5839" w:rsidP="00BD5839">
                    <w:pPr>
                      <w:pStyle w:val="Bezmezer"/>
                      <w:jc w:val="center"/>
                      <w:rPr>
                        <w:b w:val="0"/>
                        <w:bCs/>
                      </w:rPr>
                    </w:pPr>
                    <w:r>
                      <w:rPr>
                        <w:b w:val="0"/>
                        <w:bCs/>
                      </w:rPr>
                      <w:t>gú přf mu</w:t>
                    </w:r>
                  </w:p>
                </w:tc>
              </w:sdtContent>
            </w:sdt>
          </w:tr>
          <w:tr w:rsidR="00BD5839">
            <w:trPr>
              <w:trHeight w:val="360"/>
              <w:jc w:val="center"/>
            </w:trPr>
            <w:sdt>
              <w:sdtPr>
                <w:rPr>
                  <w:b w:val="0"/>
                  <w:bCs/>
                </w:rPr>
                <w:alias w:val="Datum"/>
                <w:id w:val="516659546"/>
                <w:dataBinding w:prefixMappings="xmlns:ns0='http://schemas.microsoft.com/office/2006/coverPageProps'" w:xpath="/ns0:CoverPageProperties[1]/ns0:PublishDate[1]" w:storeItemID="{55AF091B-3C7A-41E3-B477-F2FDAA23CFDA}"/>
                <w:date w:fullDate="2013-07-01T00:00:00Z">
                  <w:dateFormat w:val="d.M.yyyy"/>
                  <w:lid w:val="cs-CZ"/>
                  <w:storeMappedDataAs w:val="dateTime"/>
                  <w:calendar w:val="gregorian"/>
                </w:date>
              </w:sdtPr>
              <w:sdtEndPr/>
              <w:sdtContent>
                <w:tc>
                  <w:tcPr>
                    <w:tcW w:w="5000" w:type="pct"/>
                    <w:vAlign w:val="center"/>
                  </w:tcPr>
                  <w:p w:rsidR="00BD5839" w:rsidRDefault="0041070B" w:rsidP="00BC0D37">
                    <w:pPr>
                      <w:pStyle w:val="Bezmezer"/>
                      <w:jc w:val="center"/>
                      <w:rPr>
                        <w:b w:val="0"/>
                        <w:bCs/>
                      </w:rPr>
                    </w:pPr>
                    <w:proofErr w:type="gramStart"/>
                    <w:r>
                      <w:rPr>
                        <w:b w:val="0"/>
                        <w:bCs/>
                      </w:rPr>
                      <w:t>1.</w:t>
                    </w:r>
                    <w:r w:rsidR="00E244EA">
                      <w:rPr>
                        <w:b w:val="0"/>
                        <w:bCs/>
                      </w:rPr>
                      <w:t>7.201</w:t>
                    </w:r>
                    <w:r w:rsidR="00BC0D37">
                      <w:rPr>
                        <w:b w:val="0"/>
                        <w:bCs/>
                      </w:rPr>
                      <w:t>3</w:t>
                    </w:r>
                    <w:proofErr w:type="gramEnd"/>
                  </w:p>
                </w:tc>
              </w:sdtContent>
            </w:sdt>
          </w:tr>
        </w:tbl>
        <w:p w:rsidR="00BD5839" w:rsidRDefault="00BD5839"/>
        <w:p w:rsidR="00BD5839" w:rsidRDefault="00BD5839"/>
        <w:p w:rsidR="00BD5839" w:rsidRDefault="00BD5839"/>
        <w:tbl>
          <w:tblPr>
            <w:tblpPr w:leftFromText="187" w:rightFromText="187" w:vertAnchor="page" w:horzAnchor="margin" w:tblpXSpec="right" w:tblpY="14837"/>
            <w:tblW w:w="5000" w:type="pct"/>
            <w:tblLook w:val="04A0" w:firstRow="1" w:lastRow="0" w:firstColumn="1" w:lastColumn="0" w:noHBand="0" w:noVBand="1"/>
          </w:tblPr>
          <w:tblGrid>
            <w:gridCol w:w="9288"/>
          </w:tblGrid>
          <w:tr w:rsidR="00247A22" w:rsidTr="00247A22">
            <w:tc>
              <w:tcPr>
                <w:tcW w:w="5000" w:type="pct"/>
              </w:tcPr>
              <w:p w:rsidR="00247A22" w:rsidRDefault="00247A22" w:rsidP="00247A22">
                <w:pPr>
                  <w:pStyle w:val="Bezmezer"/>
                </w:pPr>
              </w:p>
            </w:tc>
          </w:tr>
        </w:tbl>
        <w:p w:rsidR="00BD5839" w:rsidRDefault="00BD5839">
          <w:pPr>
            <w:rPr>
              <w:rFonts w:ascii="Times New Roman" w:eastAsia="Times New Roman" w:hAnsi="Times New Roman" w:cs="Times New Roman"/>
              <w:b/>
              <w:bCs/>
              <w:sz w:val="24"/>
              <w:szCs w:val="24"/>
              <w:lang w:eastAsia="cs-CZ"/>
            </w:rPr>
          </w:pPr>
          <w:r>
            <w:rPr>
              <w:rFonts w:ascii="Times New Roman" w:hAnsi="Times New Roman" w:cs="Times New Roman"/>
              <w:sz w:val="24"/>
              <w:szCs w:val="24"/>
            </w:rPr>
            <w:br w:type="page"/>
          </w:r>
          <w:r w:rsidR="00BC0D37">
            <w:rPr>
              <w:noProof/>
              <w:lang w:eastAsia="cs-CZ"/>
            </w:rPr>
            <w:drawing>
              <wp:anchor distT="0" distB="0" distL="114300" distR="114300" simplePos="0" relativeHeight="251672576" behindDoc="1" locked="0" layoutInCell="1" allowOverlap="1" wp14:anchorId="16575FDA" wp14:editId="3104FE38">
                <wp:simplePos x="0" y="0"/>
                <wp:positionH relativeFrom="column">
                  <wp:posOffset>1878965</wp:posOffset>
                </wp:positionH>
                <wp:positionV relativeFrom="paragraph">
                  <wp:posOffset>176530</wp:posOffset>
                </wp:positionV>
                <wp:extent cx="2171700" cy="657225"/>
                <wp:effectExtent l="0" t="0" r="0" b="9525"/>
                <wp:wrapTight wrapText="bothSides">
                  <wp:wrapPolygon edited="0">
                    <wp:start x="0" y="0"/>
                    <wp:lineTo x="0" y="21287"/>
                    <wp:lineTo x="21411" y="21287"/>
                    <wp:lineTo x="21411" y="0"/>
                    <wp:lineTo x="0" y="0"/>
                  </wp:wrapPolygon>
                </wp:wrapTight>
                <wp:docPr id="37" name="Obrázek 37" descr="Geoinovac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oinovace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71700" cy="65722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sdt>
      <w:sdtPr>
        <w:rPr>
          <w:rFonts w:asciiTheme="minorHAnsi" w:eastAsiaTheme="minorHAnsi" w:hAnsiTheme="minorHAnsi" w:cstheme="minorBidi"/>
          <w:b w:val="0"/>
          <w:bCs w:val="0"/>
          <w:color w:val="auto"/>
          <w:sz w:val="22"/>
          <w:szCs w:val="22"/>
          <w:lang w:eastAsia="en-US"/>
        </w:rPr>
        <w:id w:val="-251588759"/>
        <w:docPartObj>
          <w:docPartGallery w:val="Table of Contents"/>
          <w:docPartUnique/>
        </w:docPartObj>
      </w:sdtPr>
      <w:sdtEndPr>
        <w:rPr>
          <w:rFonts w:ascii="Times New Roman" w:eastAsia="Times New Roman" w:hAnsi="Times New Roman" w:cs="Times New Roman"/>
          <w:sz w:val="24"/>
          <w:szCs w:val="24"/>
          <w:lang w:eastAsia="cs-CZ"/>
        </w:rPr>
      </w:sdtEndPr>
      <w:sdtContent>
        <w:p w:rsidR="00B038A1" w:rsidRDefault="00B038A1" w:rsidP="009B5078">
          <w:pPr>
            <w:pStyle w:val="Nadpisobsahu"/>
            <w:jc w:val="left"/>
          </w:pPr>
          <w:r w:rsidRPr="009B5078">
            <w:rPr>
              <w:color w:val="auto"/>
            </w:rPr>
            <w:t>Obsah</w:t>
          </w:r>
        </w:p>
        <w:p w:rsidR="00E244EA" w:rsidRDefault="00B038A1" w:rsidP="00E244EA">
          <w:pPr>
            <w:pStyle w:val="Obsah1"/>
            <w:rPr>
              <w:rFonts w:asciiTheme="minorHAnsi" w:eastAsiaTheme="minorEastAsia" w:hAnsiTheme="minorHAnsi" w:cstheme="minorBidi"/>
              <w:noProof/>
              <w:sz w:val="22"/>
              <w:szCs w:val="22"/>
            </w:rPr>
          </w:pPr>
          <w:r>
            <w:fldChar w:fldCharType="begin"/>
          </w:r>
          <w:r>
            <w:instrText xml:space="preserve"> TOC \o "1-3" \h \z \u </w:instrText>
          </w:r>
          <w:r>
            <w:fldChar w:fldCharType="separate"/>
          </w:r>
          <w:r w:rsidR="00E244EA" w:rsidRPr="00E244EA">
            <w:rPr>
              <w:i/>
            </w:rPr>
            <w:t xml:space="preserve"> </w:t>
          </w:r>
          <w:r w:rsidR="00E244EA" w:rsidRPr="009B5078">
            <w:rPr>
              <w:i/>
            </w:rPr>
            <w:t>Věra Markovská</w:t>
          </w:r>
          <w:r w:rsidR="00E244EA">
            <w:t>:</w:t>
          </w:r>
          <w:r w:rsidR="00E244EA" w:rsidRPr="009B5078">
            <w:t xml:space="preserve"> </w:t>
          </w:r>
          <w:r w:rsidR="00E244EA">
            <w:fldChar w:fldCharType="begin"/>
          </w:r>
          <w:r w:rsidR="00E244EA">
            <w:instrText xml:space="preserve"> TOC \o "1-3" \h \z \u </w:instrText>
          </w:r>
          <w:r w:rsidR="00E244EA">
            <w:fldChar w:fldCharType="separate"/>
          </w:r>
          <w:hyperlink w:anchor="_Toc301255424" w:history="1">
            <w:r w:rsidR="00E244EA" w:rsidRPr="00CB77D5">
              <w:rPr>
                <w:rStyle w:val="Hypertextovodkaz"/>
                <w:noProof/>
              </w:rPr>
              <w:t>MEZINÁRODNÍ MĚNOVÝ FOND</w:t>
            </w:r>
            <w:r w:rsidR="00E244EA">
              <w:rPr>
                <w:noProof/>
                <w:webHidden/>
              </w:rPr>
              <w:tab/>
            </w:r>
            <w:r w:rsidR="00E244EA">
              <w:rPr>
                <w:noProof/>
                <w:webHidden/>
              </w:rPr>
              <w:fldChar w:fldCharType="begin"/>
            </w:r>
            <w:r w:rsidR="00E244EA">
              <w:rPr>
                <w:noProof/>
                <w:webHidden/>
              </w:rPr>
              <w:instrText xml:space="preserve"> PAGEREF _Toc301255424 \h </w:instrText>
            </w:r>
            <w:r w:rsidR="00E244EA">
              <w:rPr>
                <w:noProof/>
                <w:webHidden/>
              </w:rPr>
            </w:r>
            <w:r w:rsidR="00E244EA">
              <w:rPr>
                <w:noProof/>
                <w:webHidden/>
              </w:rPr>
              <w:fldChar w:fldCharType="separate"/>
            </w:r>
            <w:r w:rsidR="00E244EA">
              <w:rPr>
                <w:noProof/>
                <w:webHidden/>
              </w:rPr>
              <w:t>2</w:t>
            </w:r>
            <w:r w:rsidR="00E244EA">
              <w:rPr>
                <w:noProof/>
                <w:webHidden/>
              </w:rPr>
              <w:fldChar w:fldCharType="end"/>
            </w:r>
          </w:hyperlink>
        </w:p>
        <w:p w:rsidR="00E244EA" w:rsidRDefault="00E244EA" w:rsidP="00E244EA">
          <w:pPr>
            <w:pStyle w:val="Obsah1"/>
            <w:rPr>
              <w:rFonts w:asciiTheme="minorHAnsi" w:eastAsiaTheme="minorEastAsia" w:hAnsiTheme="minorHAnsi" w:cstheme="minorBidi"/>
              <w:noProof/>
              <w:sz w:val="22"/>
              <w:szCs w:val="22"/>
            </w:rPr>
          </w:pPr>
          <w:r>
            <w:rPr>
              <w:i/>
              <w:noProof/>
            </w:rPr>
            <w:t>Martin Foral</w:t>
          </w:r>
          <w:r>
            <w:rPr>
              <w:noProof/>
            </w:rPr>
            <w:t>:</w:t>
          </w:r>
          <w:r w:rsidRPr="009B5078">
            <w:rPr>
              <w:noProof/>
            </w:rPr>
            <w:t xml:space="preserve"> </w:t>
          </w:r>
          <w:hyperlink w:anchor="_Toc301255429" w:history="1">
            <w:r w:rsidRPr="00CB77D5">
              <w:rPr>
                <w:rStyle w:val="Hypertextovodkaz"/>
                <w:noProof/>
              </w:rPr>
              <w:t>LOKALIZAČNÍ FAKTORY PŘÍMÝCH ZAHRANIČNÍCH INVESTIC A JEJICH CHARAKTER V BRNĚ A OKOLÍ</w:t>
            </w:r>
            <w:r>
              <w:rPr>
                <w:noProof/>
                <w:webHidden/>
              </w:rPr>
              <w:tab/>
            </w:r>
            <w:r>
              <w:rPr>
                <w:noProof/>
                <w:webHidden/>
              </w:rPr>
              <w:fldChar w:fldCharType="begin"/>
            </w:r>
            <w:r>
              <w:rPr>
                <w:noProof/>
                <w:webHidden/>
              </w:rPr>
              <w:instrText xml:space="preserve"> PAGEREF _Toc301255429 \h </w:instrText>
            </w:r>
            <w:r>
              <w:rPr>
                <w:noProof/>
                <w:webHidden/>
              </w:rPr>
            </w:r>
            <w:r>
              <w:rPr>
                <w:noProof/>
                <w:webHidden/>
              </w:rPr>
              <w:fldChar w:fldCharType="separate"/>
            </w:r>
            <w:r>
              <w:rPr>
                <w:noProof/>
                <w:webHidden/>
              </w:rPr>
              <w:t>10</w:t>
            </w:r>
            <w:r>
              <w:rPr>
                <w:noProof/>
                <w:webHidden/>
              </w:rPr>
              <w:fldChar w:fldCharType="end"/>
            </w:r>
          </w:hyperlink>
        </w:p>
        <w:p w:rsidR="00E244EA" w:rsidRDefault="00E244EA" w:rsidP="00E244EA">
          <w:pPr>
            <w:pStyle w:val="Obsah1"/>
            <w:rPr>
              <w:rFonts w:asciiTheme="minorHAnsi" w:eastAsiaTheme="minorEastAsia" w:hAnsiTheme="minorHAnsi" w:cstheme="minorBidi"/>
              <w:noProof/>
              <w:sz w:val="22"/>
              <w:szCs w:val="22"/>
            </w:rPr>
          </w:pPr>
          <w:r w:rsidRPr="009B5078">
            <w:rPr>
              <w:i/>
              <w:noProof/>
            </w:rPr>
            <w:t>V</w:t>
          </w:r>
          <w:r>
            <w:rPr>
              <w:i/>
              <w:noProof/>
            </w:rPr>
            <w:t>ojtěch Trmač</w:t>
          </w:r>
          <w:r>
            <w:rPr>
              <w:noProof/>
            </w:rPr>
            <w:t>:</w:t>
          </w:r>
          <w:r w:rsidRPr="009B5078">
            <w:rPr>
              <w:noProof/>
            </w:rPr>
            <w:t xml:space="preserve"> </w:t>
          </w:r>
          <w:hyperlink w:anchor="_Toc301255430" w:history="1">
            <w:r w:rsidRPr="00CB77D5">
              <w:rPr>
                <w:rStyle w:val="Hypertextovodkaz"/>
                <w:noProof/>
              </w:rPr>
              <w:t>SPOLEČNOST FLEXTRONICS A JEJÍ PŮSOBENÍ V MĚSTĚ BRNĚ</w:t>
            </w:r>
            <w:r>
              <w:rPr>
                <w:noProof/>
                <w:webHidden/>
              </w:rPr>
              <w:tab/>
            </w:r>
            <w:r>
              <w:rPr>
                <w:noProof/>
                <w:webHidden/>
              </w:rPr>
              <w:fldChar w:fldCharType="begin"/>
            </w:r>
            <w:r>
              <w:rPr>
                <w:noProof/>
                <w:webHidden/>
              </w:rPr>
              <w:instrText xml:space="preserve"> PAGEREF _Toc301255430 \h </w:instrText>
            </w:r>
            <w:r>
              <w:rPr>
                <w:noProof/>
                <w:webHidden/>
              </w:rPr>
            </w:r>
            <w:r>
              <w:rPr>
                <w:noProof/>
                <w:webHidden/>
              </w:rPr>
              <w:fldChar w:fldCharType="separate"/>
            </w:r>
            <w:r>
              <w:rPr>
                <w:noProof/>
                <w:webHidden/>
              </w:rPr>
              <w:t>19</w:t>
            </w:r>
            <w:r>
              <w:rPr>
                <w:noProof/>
                <w:webHidden/>
              </w:rPr>
              <w:fldChar w:fldCharType="end"/>
            </w:r>
          </w:hyperlink>
        </w:p>
        <w:p w:rsidR="00E244EA" w:rsidRDefault="00E244EA" w:rsidP="00E244EA">
          <w:pPr>
            <w:pStyle w:val="Obsah1"/>
            <w:rPr>
              <w:rFonts w:asciiTheme="minorHAnsi" w:eastAsiaTheme="minorEastAsia" w:hAnsiTheme="minorHAnsi" w:cstheme="minorBidi"/>
              <w:noProof/>
              <w:sz w:val="22"/>
              <w:szCs w:val="22"/>
            </w:rPr>
          </w:pPr>
          <w:r>
            <w:rPr>
              <w:i/>
              <w:noProof/>
            </w:rPr>
            <w:t>Petr Hudeček</w:t>
          </w:r>
          <w:r>
            <w:rPr>
              <w:noProof/>
            </w:rPr>
            <w:t>:</w:t>
          </w:r>
          <w:r w:rsidRPr="009B5078">
            <w:rPr>
              <w:noProof/>
            </w:rPr>
            <w:t xml:space="preserve"> </w:t>
          </w:r>
          <w:hyperlink w:anchor="_Toc301255432" w:history="1">
            <w:r w:rsidRPr="00CB77D5">
              <w:rPr>
                <w:rStyle w:val="Hypertextovodkaz"/>
                <w:noProof/>
              </w:rPr>
              <w:t>GLOBALIZACE MALOOBCHODU V ČESKÉ REPUBLICE</w:t>
            </w:r>
            <w:r>
              <w:rPr>
                <w:noProof/>
                <w:webHidden/>
              </w:rPr>
              <w:tab/>
            </w:r>
            <w:r>
              <w:rPr>
                <w:noProof/>
                <w:webHidden/>
              </w:rPr>
              <w:fldChar w:fldCharType="begin"/>
            </w:r>
            <w:r>
              <w:rPr>
                <w:noProof/>
                <w:webHidden/>
              </w:rPr>
              <w:instrText xml:space="preserve"> PAGEREF _Toc301255432 \h </w:instrText>
            </w:r>
            <w:r>
              <w:rPr>
                <w:noProof/>
                <w:webHidden/>
              </w:rPr>
            </w:r>
            <w:r>
              <w:rPr>
                <w:noProof/>
                <w:webHidden/>
              </w:rPr>
              <w:fldChar w:fldCharType="separate"/>
            </w:r>
            <w:r>
              <w:rPr>
                <w:noProof/>
                <w:webHidden/>
              </w:rPr>
              <w:t>27</w:t>
            </w:r>
            <w:r>
              <w:rPr>
                <w:noProof/>
                <w:webHidden/>
              </w:rPr>
              <w:fldChar w:fldCharType="end"/>
            </w:r>
          </w:hyperlink>
        </w:p>
        <w:p w:rsidR="00E244EA" w:rsidRDefault="00E244EA" w:rsidP="00E244EA">
          <w:pPr>
            <w:pStyle w:val="Obsah1"/>
            <w:rPr>
              <w:rFonts w:asciiTheme="minorHAnsi" w:eastAsiaTheme="minorEastAsia" w:hAnsiTheme="minorHAnsi" w:cstheme="minorBidi"/>
              <w:noProof/>
              <w:sz w:val="22"/>
              <w:szCs w:val="22"/>
            </w:rPr>
          </w:pPr>
          <w:r>
            <w:rPr>
              <w:i/>
              <w:noProof/>
            </w:rPr>
            <w:t>Kristýna Lysáková</w:t>
          </w:r>
          <w:r>
            <w:rPr>
              <w:noProof/>
            </w:rPr>
            <w:t>:</w:t>
          </w:r>
          <w:r w:rsidRPr="009B5078">
            <w:rPr>
              <w:noProof/>
            </w:rPr>
            <w:t xml:space="preserve"> </w:t>
          </w:r>
          <w:hyperlink w:anchor="_Toc301255440" w:history="1">
            <w:r w:rsidRPr="00CB77D5">
              <w:rPr>
                <w:rStyle w:val="Hypertextovodkaz"/>
                <w:rFonts w:eastAsia="Batang"/>
                <w:noProof/>
              </w:rPr>
              <w:t>BÉNGALÚRU – CENTRUM OUTSOURCINGU</w:t>
            </w:r>
            <w:r>
              <w:rPr>
                <w:noProof/>
                <w:webHidden/>
              </w:rPr>
              <w:tab/>
            </w:r>
            <w:r>
              <w:rPr>
                <w:noProof/>
                <w:webHidden/>
              </w:rPr>
              <w:fldChar w:fldCharType="begin"/>
            </w:r>
            <w:r>
              <w:rPr>
                <w:noProof/>
                <w:webHidden/>
              </w:rPr>
              <w:instrText xml:space="preserve"> PAGEREF _Toc301255440 \h </w:instrText>
            </w:r>
            <w:r>
              <w:rPr>
                <w:noProof/>
                <w:webHidden/>
              </w:rPr>
            </w:r>
            <w:r>
              <w:rPr>
                <w:noProof/>
                <w:webHidden/>
              </w:rPr>
              <w:fldChar w:fldCharType="separate"/>
            </w:r>
            <w:r>
              <w:rPr>
                <w:noProof/>
                <w:webHidden/>
              </w:rPr>
              <w:t>38</w:t>
            </w:r>
            <w:r>
              <w:rPr>
                <w:noProof/>
                <w:webHidden/>
              </w:rPr>
              <w:fldChar w:fldCharType="end"/>
            </w:r>
          </w:hyperlink>
        </w:p>
        <w:p w:rsidR="00E244EA" w:rsidRDefault="00E244EA" w:rsidP="00E244EA">
          <w:pPr>
            <w:pStyle w:val="Obsah1"/>
            <w:rPr>
              <w:rFonts w:asciiTheme="minorHAnsi" w:eastAsiaTheme="minorEastAsia" w:hAnsiTheme="minorHAnsi" w:cstheme="minorBidi"/>
              <w:noProof/>
              <w:sz w:val="22"/>
              <w:szCs w:val="22"/>
            </w:rPr>
          </w:pPr>
          <w:r>
            <w:rPr>
              <w:i/>
              <w:noProof/>
            </w:rPr>
            <w:t>Petr Voda</w:t>
          </w:r>
          <w:r>
            <w:rPr>
              <w:noProof/>
            </w:rPr>
            <w:t>:</w:t>
          </w:r>
          <w:r w:rsidRPr="009B5078">
            <w:rPr>
              <w:noProof/>
            </w:rPr>
            <w:t xml:space="preserve"> </w:t>
          </w:r>
          <w:hyperlink w:anchor="_Toc301255447" w:history="1">
            <w:r w:rsidRPr="00CB77D5">
              <w:rPr>
                <w:rStyle w:val="Hypertextovodkaz"/>
                <w:noProof/>
              </w:rPr>
              <w:t xml:space="preserve">AMERIKANIZACE VOLEBNÍCH </w:t>
            </w:r>
            <w:r w:rsidRPr="00E244EA">
              <w:rPr>
                <w:rStyle w:val="Hypertextovodkaz"/>
                <w:i/>
                <w:noProof/>
              </w:rPr>
              <w:t>KAMPANÍ</w:t>
            </w:r>
            <w:r>
              <w:rPr>
                <w:noProof/>
                <w:webHidden/>
              </w:rPr>
              <w:tab/>
            </w:r>
            <w:r>
              <w:rPr>
                <w:noProof/>
                <w:webHidden/>
              </w:rPr>
              <w:fldChar w:fldCharType="begin"/>
            </w:r>
            <w:r>
              <w:rPr>
                <w:noProof/>
                <w:webHidden/>
              </w:rPr>
              <w:instrText xml:space="preserve"> PAGEREF _Toc301255447 \h </w:instrText>
            </w:r>
            <w:r>
              <w:rPr>
                <w:noProof/>
                <w:webHidden/>
              </w:rPr>
            </w:r>
            <w:r>
              <w:rPr>
                <w:noProof/>
                <w:webHidden/>
              </w:rPr>
              <w:fldChar w:fldCharType="separate"/>
            </w:r>
            <w:r>
              <w:rPr>
                <w:noProof/>
                <w:webHidden/>
              </w:rPr>
              <w:t>46</w:t>
            </w:r>
            <w:r>
              <w:rPr>
                <w:noProof/>
                <w:webHidden/>
              </w:rPr>
              <w:fldChar w:fldCharType="end"/>
            </w:r>
          </w:hyperlink>
        </w:p>
        <w:p w:rsidR="00E244EA" w:rsidRDefault="00E244EA" w:rsidP="00E244EA">
          <w:pPr>
            <w:pStyle w:val="Obsah1"/>
            <w:rPr>
              <w:rStyle w:val="Hypertextovodkaz"/>
              <w:noProof/>
            </w:rPr>
          </w:pPr>
          <w:r>
            <w:rPr>
              <w:i/>
              <w:noProof/>
            </w:rPr>
            <w:t>Andrea Vlčková</w:t>
          </w:r>
          <w:r>
            <w:rPr>
              <w:noProof/>
            </w:rPr>
            <w:t>:</w:t>
          </w:r>
          <w:r w:rsidRPr="009B5078">
            <w:rPr>
              <w:noProof/>
            </w:rPr>
            <w:t xml:space="preserve"> </w:t>
          </w:r>
          <w:hyperlink w:anchor="_Toc301255454" w:history="1">
            <w:r w:rsidRPr="00CB77D5">
              <w:rPr>
                <w:rStyle w:val="Hypertextovodkaz"/>
                <w:noProof/>
              </w:rPr>
              <w:t>SVĚTOVÝ OBCHOD S BANÁNY</w:t>
            </w:r>
            <w:r>
              <w:rPr>
                <w:noProof/>
                <w:webHidden/>
              </w:rPr>
              <w:tab/>
            </w:r>
            <w:r>
              <w:rPr>
                <w:noProof/>
                <w:webHidden/>
              </w:rPr>
              <w:fldChar w:fldCharType="begin"/>
            </w:r>
            <w:r>
              <w:rPr>
                <w:noProof/>
                <w:webHidden/>
              </w:rPr>
              <w:instrText xml:space="preserve"> PAGEREF _Toc301255454 \h </w:instrText>
            </w:r>
            <w:r>
              <w:rPr>
                <w:noProof/>
                <w:webHidden/>
              </w:rPr>
            </w:r>
            <w:r>
              <w:rPr>
                <w:noProof/>
                <w:webHidden/>
              </w:rPr>
              <w:fldChar w:fldCharType="separate"/>
            </w:r>
            <w:r>
              <w:rPr>
                <w:noProof/>
                <w:webHidden/>
              </w:rPr>
              <w:t>55</w:t>
            </w:r>
            <w:r>
              <w:rPr>
                <w:noProof/>
                <w:webHidden/>
              </w:rPr>
              <w:fldChar w:fldCharType="end"/>
            </w:r>
          </w:hyperlink>
        </w:p>
        <w:p w:rsidR="00E244EA" w:rsidRDefault="00E244EA" w:rsidP="00E244EA">
          <w:pPr>
            <w:pStyle w:val="Obsah1"/>
            <w:rPr>
              <w:noProof/>
              <w:webHidden/>
            </w:rPr>
          </w:pPr>
          <w:r>
            <w:rPr>
              <w:b/>
              <w:bCs/>
            </w:rPr>
            <w:fldChar w:fldCharType="end"/>
          </w:r>
          <w:r w:rsidRPr="009B5078">
            <w:rPr>
              <w:bCs/>
              <w:i/>
            </w:rPr>
            <w:t>Ondřej Šerý</w:t>
          </w:r>
          <w:r>
            <w:t>:</w:t>
          </w:r>
          <w:r w:rsidRPr="009B5078">
            <w:t xml:space="preserve"> </w:t>
          </w:r>
          <w:r w:rsidRPr="009B5078">
            <w:rPr>
              <w:rStyle w:val="Hypertextovodkaz"/>
              <w:noProof/>
              <w:color w:val="auto"/>
              <w:u w:val="none"/>
            </w:rPr>
            <w:t>GLOBÁLNÍ OBCHOD S URANEM</w:t>
          </w:r>
          <w:r>
            <w:rPr>
              <w:noProof/>
              <w:webHidden/>
            </w:rPr>
            <w:tab/>
          </w:r>
          <w:r>
            <w:rPr>
              <w:noProof/>
              <w:webHidden/>
            </w:rPr>
            <w:fldChar w:fldCharType="begin"/>
          </w:r>
          <w:r>
            <w:rPr>
              <w:noProof/>
              <w:webHidden/>
            </w:rPr>
            <w:instrText xml:space="preserve"> PAGEREF _Toc301255454 \h </w:instrText>
          </w:r>
          <w:r>
            <w:rPr>
              <w:noProof/>
              <w:webHidden/>
            </w:rPr>
          </w:r>
          <w:r>
            <w:rPr>
              <w:noProof/>
              <w:webHidden/>
            </w:rPr>
            <w:fldChar w:fldCharType="separate"/>
          </w:r>
          <w:r>
            <w:rPr>
              <w:noProof/>
              <w:webHidden/>
            </w:rPr>
            <w:t>6</w:t>
          </w:r>
          <w:r>
            <w:rPr>
              <w:noProof/>
              <w:webHidden/>
            </w:rPr>
            <w:fldChar w:fldCharType="end"/>
          </w:r>
          <w:r>
            <w:rPr>
              <w:noProof/>
              <w:webHidden/>
            </w:rPr>
            <w:t>5</w:t>
          </w:r>
        </w:p>
        <w:p w:rsidR="00E244EA" w:rsidRDefault="00E244EA" w:rsidP="00E244EA">
          <w:pPr>
            <w:pStyle w:val="Obsah1"/>
            <w:rPr>
              <w:rStyle w:val="Hypertextovodkaz"/>
              <w:noProof/>
            </w:rPr>
          </w:pPr>
          <w:r>
            <w:rPr>
              <w:i/>
            </w:rPr>
            <w:t>Lenka Hromková</w:t>
          </w:r>
          <w:r>
            <w:t>:</w:t>
          </w:r>
          <w:r w:rsidRPr="009B5078">
            <w:t xml:space="preserve"> </w:t>
          </w:r>
          <w:r w:rsidRPr="009B5078">
            <w:rPr>
              <w:rStyle w:val="Hypertextovodkaz"/>
              <w:noProof/>
              <w:color w:val="auto"/>
              <w:u w:val="none"/>
            </w:rPr>
            <w:t>FSC</w:t>
          </w:r>
          <w:r>
            <w:rPr>
              <w:rStyle w:val="Hypertextovodkaz"/>
              <w:noProof/>
              <w:color w:val="auto"/>
              <w:u w:val="none"/>
            </w:rPr>
            <w:t>:</w:t>
          </w:r>
          <w:r w:rsidRPr="009B5078">
            <w:t xml:space="preserve"> </w:t>
          </w:r>
          <w:r w:rsidRPr="00DF128A">
            <w:t>F</w:t>
          </w:r>
          <w:r>
            <w:t xml:space="preserve">OREST </w:t>
          </w:r>
          <w:r w:rsidRPr="00DF128A">
            <w:t>S</w:t>
          </w:r>
          <w:r>
            <w:t xml:space="preserve">TEWARDSHIP </w:t>
          </w:r>
          <w:r w:rsidRPr="00DF128A">
            <w:t>C</w:t>
          </w:r>
          <w:r>
            <w:t>OUNCIL</w:t>
          </w:r>
          <w:r>
            <w:rPr>
              <w:noProof/>
              <w:webHidden/>
            </w:rPr>
            <w:tab/>
          </w:r>
          <w:r>
            <w:rPr>
              <w:noProof/>
              <w:webHidden/>
            </w:rPr>
            <w:fldChar w:fldCharType="begin"/>
          </w:r>
          <w:r>
            <w:rPr>
              <w:noProof/>
              <w:webHidden/>
            </w:rPr>
            <w:instrText xml:space="preserve"> PAGEREF _Toc301255454 \h </w:instrText>
          </w:r>
          <w:r>
            <w:rPr>
              <w:noProof/>
              <w:webHidden/>
            </w:rPr>
          </w:r>
          <w:r>
            <w:rPr>
              <w:noProof/>
              <w:webHidden/>
            </w:rPr>
            <w:fldChar w:fldCharType="separate"/>
          </w:r>
          <w:r>
            <w:rPr>
              <w:noProof/>
              <w:webHidden/>
            </w:rPr>
            <w:t>74</w:t>
          </w:r>
          <w:r>
            <w:rPr>
              <w:noProof/>
              <w:webHidden/>
            </w:rPr>
            <w:fldChar w:fldCharType="end"/>
          </w:r>
        </w:p>
        <w:p w:rsidR="00E244EA" w:rsidRDefault="00E244EA">
          <w:pPr>
            <w:pStyle w:val="Obsah1"/>
            <w:rPr>
              <w:rFonts w:asciiTheme="minorHAnsi" w:eastAsiaTheme="minorEastAsia" w:hAnsiTheme="minorHAnsi" w:cstheme="minorBidi"/>
              <w:noProof/>
              <w:sz w:val="22"/>
              <w:szCs w:val="22"/>
            </w:rPr>
          </w:pPr>
          <w:r w:rsidRPr="00E244EA">
            <w:rPr>
              <w:bCs/>
              <w:i/>
            </w:rPr>
            <w:t xml:space="preserve">Klára Javorčeková, Martina Kvítková: </w:t>
          </w:r>
          <w:hyperlink w:anchor="_Toc331023980" w:history="1">
            <w:r w:rsidRPr="009333CF">
              <w:rPr>
                <w:rStyle w:val="Hypertextovodkaz"/>
                <w:noProof/>
              </w:rPr>
              <w:t>ANTIGLOBALIZAČNÍ PROTESTY V ROCE 1999</w:t>
            </w:r>
            <w:r>
              <w:rPr>
                <w:noProof/>
                <w:webHidden/>
              </w:rPr>
              <w:tab/>
            </w:r>
            <w:r>
              <w:rPr>
                <w:noProof/>
                <w:webHidden/>
              </w:rPr>
              <w:fldChar w:fldCharType="begin"/>
            </w:r>
            <w:r>
              <w:rPr>
                <w:noProof/>
                <w:webHidden/>
              </w:rPr>
              <w:instrText xml:space="preserve"> PAGEREF _Toc331023980 \h </w:instrText>
            </w:r>
            <w:r>
              <w:rPr>
                <w:noProof/>
                <w:webHidden/>
              </w:rPr>
            </w:r>
            <w:r>
              <w:rPr>
                <w:noProof/>
                <w:webHidden/>
              </w:rPr>
              <w:fldChar w:fldCharType="separate"/>
            </w:r>
            <w:r>
              <w:rPr>
                <w:noProof/>
                <w:webHidden/>
              </w:rPr>
              <w:t>85</w:t>
            </w:r>
            <w:r>
              <w:rPr>
                <w:noProof/>
                <w:webHidden/>
              </w:rPr>
              <w:fldChar w:fldCharType="end"/>
            </w:r>
          </w:hyperlink>
        </w:p>
        <w:p w:rsidR="00E244EA" w:rsidRDefault="00E244EA">
          <w:pPr>
            <w:pStyle w:val="Obsah1"/>
            <w:rPr>
              <w:rFonts w:asciiTheme="minorHAnsi" w:eastAsiaTheme="minorEastAsia" w:hAnsiTheme="minorHAnsi" w:cstheme="minorBidi"/>
              <w:noProof/>
              <w:sz w:val="22"/>
              <w:szCs w:val="22"/>
            </w:rPr>
          </w:pPr>
          <w:r w:rsidRPr="00E244EA">
            <w:t>D</w:t>
          </w:r>
          <w:r w:rsidRPr="00E244EA">
            <w:rPr>
              <w:bCs/>
              <w:i/>
            </w:rPr>
            <w:t>ominik Prymš</w:t>
          </w:r>
          <w:r>
            <w:rPr>
              <w:rStyle w:val="Hypertextovodkaz"/>
              <w:noProof/>
            </w:rPr>
            <w:t xml:space="preserve">: </w:t>
          </w:r>
          <w:hyperlink w:anchor="_Toc331023986" w:history="1">
            <w:r w:rsidRPr="009333CF">
              <w:rPr>
                <w:rStyle w:val="Hypertextovodkaz"/>
                <w:noProof/>
              </w:rPr>
              <w:t>ŠKODA AUTO ČESKÁ REPUBLIKA</w:t>
            </w:r>
            <w:r>
              <w:rPr>
                <w:noProof/>
                <w:webHidden/>
              </w:rPr>
              <w:tab/>
            </w:r>
            <w:r>
              <w:rPr>
                <w:noProof/>
                <w:webHidden/>
              </w:rPr>
              <w:fldChar w:fldCharType="begin"/>
            </w:r>
            <w:r>
              <w:rPr>
                <w:noProof/>
                <w:webHidden/>
              </w:rPr>
              <w:instrText xml:space="preserve"> PAGEREF _Toc331023986 \h </w:instrText>
            </w:r>
            <w:r>
              <w:rPr>
                <w:noProof/>
                <w:webHidden/>
              </w:rPr>
            </w:r>
            <w:r>
              <w:rPr>
                <w:noProof/>
                <w:webHidden/>
              </w:rPr>
              <w:fldChar w:fldCharType="separate"/>
            </w:r>
            <w:r>
              <w:rPr>
                <w:noProof/>
                <w:webHidden/>
              </w:rPr>
              <w:t>93</w:t>
            </w:r>
            <w:r>
              <w:rPr>
                <w:noProof/>
                <w:webHidden/>
              </w:rPr>
              <w:fldChar w:fldCharType="end"/>
            </w:r>
          </w:hyperlink>
        </w:p>
        <w:p w:rsidR="00E244EA" w:rsidRDefault="00E244EA">
          <w:pPr>
            <w:pStyle w:val="Obsah1"/>
            <w:rPr>
              <w:rFonts w:asciiTheme="minorHAnsi" w:eastAsiaTheme="minorEastAsia" w:hAnsiTheme="minorHAnsi" w:cstheme="minorBidi"/>
              <w:noProof/>
              <w:sz w:val="22"/>
              <w:szCs w:val="22"/>
            </w:rPr>
          </w:pPr>
          <w:r w:rsidRPr="00E244EA">
            <w:rPr>
              <w:i/>
            </w:rPr>
            <w:t xml:space="preserve">Pavel Doboš: </w:t>
          </w:r>
          <w:hyperlink w:anchor="_Toc331023988" w:history="1">
            <w:r w:rsidRPr="009333CF">
              <w:rPr>
                <w:rStyle w:val="Hypertextovodkaz"/>
                <w:noProof/>
              </w:rPr>
              <w:t>World music jako odpor globalizace</w:t>
            </w:r>
            <w:r>
              <w:rPr>
                <w:noProof/>
                <w:webHidden/>
              </w:rPr>
              <w:tab/>
            </w:r>
            <w:r>
              <w:rPr>
                <w:noProof/>
                <w:webHidden/>
              </w:rPr>
              <w:fldChar w:fldCharType="begin"/>
            </w:r>
            <w:r>
              <w:rPr>
                <w:noProof/>
                <w:webHidden/>
              </w:rPr>
              <w:instrText xml:space="preserve"> PAGEREF _Toc331023988 \h </w:instrText>
            </w:r>
            <w:r>
              <w:rPr>
                <w:noProof/>
                <w:webHidden/>
              </w:rPr>
            </w:r>
            <w:r>
              <w:rPr>
                <w:noProof/>
                <w:webHidden/>
              </w:rPr>
              <w:fldChar w:fldCharType="separate"/>
            </w:r>
            <w:r>
              <w:rPr>
                <w:noProof/>
                <w:webHidden/>
              </w:rPr>
              <w:t>103</w:t>
            </w:r>
            <w:r>
              <w:rPr>
                <w:noProof/>
                <w:webHidden/>
              </w:rPr>
              <w:fldChar w:fldCharType="end"/>
            </w:r>
          </w:hyperlink>
        </w:p>
        <w:p w:rsidR="00E244EA" w:rsidRDefault="00E244EA">
          <w:pPr>
            <w:pStyle w:val="Obsah1"/>
            <w:rPr>
              <w:rFonts w:asciiTheme="minorHAnsi" w:eastAsiaTheme="minorEastAsia" w:hAnsiTheme="minorHAnsi" w:cstheme="minorBidi"/>
              <w:noProof/>
              <w:sz w:val="22"/>
              <w:szCs w:val="22"/>
            </w:rPr>
          </w:pPr>
          <w:r w:rsidRPr="00E244EA">
            <w:rPr>
              <w:i/>
            </w:rPr>
            <w:t>Jan Blažek:</w:t>
          </w:r>
          <w:r>
            <w:t xml:space="preserve"> </w:t>
          </w:r>
          <w:hyperlink w:anchor="_Toc331023994" w:history="1">
            <w:r w:rsidRPr="009333CF">
              <w:rPr>
                <w:rStyle w:val="Hypertextovodkaz"/>
                <w:noProof/>
              </w:rPr>
              <w:t>Environmentální a socioekonomické dopady produkce biopaliv na rozvojové země – case study Indonésie</w:t>
            </w:r>
            <w:r>
              <w:rPr>
                <w:noProof/>
                <w:webHidden/>
              </w:rPr>
              <w:tab/>
            </w:r>
            <w:r>
              <w:rPr>
                <w:noProof/>
                <w:webHidden/>
              </w:rPr>
              <w:fldChar w:fldCharType="begin"/>
            </w:r>
            <w:r>
              <w:rPr>
                <w:noProof/>
                <w:webHidden/>
              </w:rPr>
              <w:instrText xml:space="preserve"> PAGEREF _Toc331023994 \h </w:instrText>
            </w:r>
            <w:r>
              <w:rPr>
                <w:noProof/>
                <w:webHidden/>
              </w:rPr>
            </w:r>
            <w:r>
              <w:rPr>
                <w:noProof/>
                <w:webHidden/>
              </w:rPr>
              <w:fldChar w:fldCharType="separate"/>
            </w:r>
            <w:r>
              <w:rPr>
                <w:noProof/>
                <w:webHidden/>
              </w:rPr>
              <w:t>112</w:t>
            </w:r>
            <w:r>
              <w:rPr>
                <w:noProof/>
                <w:webHidden/>
              </w:rPr>
              <w:fldChar w:fldCharType="end"/>
            </w:r>
          </w:hyperlink>
        </w:p>
        <w:p w:rsidR="00E244EA" w:rsidRDefault="00E244EA">
          <w:pPr>
            <w:pStyle w:val="Obsah1"/>
            <w:rPr>
              <w:rFonts w:asciiTheme="minorHAnsi" w:eastAsiaTheme="minorEastAsia" w:hAnsiTheme="minorHAnsi" w:cstheme="minorBidi"/>
              <w:noProof/>
              <w:sz w:val="22"/>
              <w:szCs w:val="22"/>
            </w:rPr>
          </w:pPr>
          <w:r w:rsidRPr="00E244EA">
            <w:rPr>
              <w:i/>
            </w:rPr>
            <w:t>Gustav Novotný</w:t>
          </w:r>
          <w:r>
            <w:rPr>
              <w:rStyle w:val="Hypertextovodkaz"/>
              <w:noProof/>
            </w:rPr>
            <w:t xml:space="preserve">: </w:t>
          </w:r>
          <w:hyperlink w:anchor="_Toc331023999" w:history="1">
            <w:r w:rsidRPr="009333CF">
              <w:rPr>
                <w:rStyle w:val="Hypertextovodkaz"/>
                <w:noProof/>
              </w:rPr>
              <w:t>BOLÍVIE A GLOBALIZACE</w:t>
            </w:r>
            <w:r>
              <w:rPr>
                <w:noProof/>
                <w:webHidden/>
              </w:rPr>
              <w:tab/>
            </w:r>
            <w:r>
              <w:rPr>
                <w:noProof/>
                <w:webHidden/>
              </w:rPr>
              <w:fldChar w:fldCharType="begin"/>
            </w:r>
            <w:r>
              <w:rPr>
                <w:noProof/>
                <w:webHidden/>
              </w:rPr>
              <w:instrText xml:space="preserve"> PAGEREF _Toc331023999 \h </w:instrText>
            </w:r>
            <w:r>
              <w:rPr>
                <w:noProof/>
                <w:webHidden/>
              </w:rPr>
            </w:r>
            <w:r>
              <w:rPr>
                <w:noProof/>
                <w:webHidden/>
              </w:rPr>
              <w:fldChar w:fldCharType="separate"/>
            </w:r>
            <w:r>
              <w:rPr>
                <w:noProof/>
                <w:webHidden/>
              </w:rPr>
              <w:t>120</w:t>
            </w:r>
            <w:r>
              <w:rPr>
                <w:noProof/>
                <w:webHidden/>
              </w:rPr>
              <w:fldChar w:fldCharType="end"/>
            </w:r>
          </w:hyperlink>
        </w:p>
        <w:p w:rsidR="00E244EA" w:rsidRDefault="00E244EA">
          <w:pPr>
            <w:pStyle w:val="Obsah1"/>
            <w:rPr>
              <w:rFonts w:asciiTheme="minorHAnsi" w:eastAsiaTheme="minorEastAsia" w:hAnsiTheme="minorHAnsi" w:cstheme="minorBidi"/>
              <w:noProof/>
              <w:sz w:val="22"/>
              <w:szCs w:val="22"/>
            </w:rPr>
          </w:pPr>
          <w:r w:rsidRPr="00E244EA">
            <w:rPr>
              <w:i/>
            </w:rPr>
            <w:t>Lucia Kolláriková</w:t>
          </w:r>
          <w:r>
            <w:rPr>
              <w:rStyle w:val="Hypertextovodkaz"/>
              <w:noProof/>
            </w:rPr>
            <w:t xml:space="preserve">: </w:t>
          </w:r>
          <w:hyperlink w:anchor="_Toc331024003" w:history="1">
            <w:r w:rsidRPr="009333CF">
              <w:rPr>
                <w:rStyle w:val="Hypertextovodkaz"/>
                <w:noProof/>
              </w:rPr>
              <w:t>Vnímanie globalizácie z feministického pohľadu</w:t>
            </w:r>
            <w:r>
              <w:rPr>
                <w:noProof/>
                <w:webHidden/>
              </w:rPr>
              <w:tab/>
            </w:r>
            <w:r>
              <w:rPr>
                <w:noProof/>
                <w:webHidden/>
              </w:rPr>
              <w:fldChar w:fldCharType="begin"/>
            </w:r>
            <w:r>
              <w:rPr>
                <w:noProof/>
                <w:webHidden/>
              </w:rPr>
              <w:instrText xml:space="preserve"> PAGEREF _Toc331024003 \h </w:instrText>
            </w:r>
            <w:r>
              <w:rPr>
                <w:noProof/>
                <w:webHidden/>
              </w:rPr>
            </w:r>
            <w:r>
              <w:rPr>
                <w:noProof/>
                <w:webHidden/>
              </w:rPr>
              <w:fldChar w:fldCharType="separate"/>
            </w:r>
            <w:r>
              <w:rPr>
                <w:noProof/>
                <w:webHidden/>
              </w:rPr>
              <w:t>127</w:t>
            </w:r>
            <w:r>
              <w:rPr>
                <w:noProof/>
                <w:webHidden/>
              </w:rPr>
              <w:fldChar w:fldCharType="end"/>
            </w:r>
          </w:hyperlink>
        </w:p>
        <w:p w:rsidR="00B038A1" w:rsidRDefault="008E67B0" w:rsidP="00E244EA">
          <w:pPr>
            <w:pStyle w:val="Obsah1"/>
          </w:pPr>
          <w:hyperlink w:anchor="_Toc331024004" w:history="1"/>
          <w:r w:rsidR="00B038A1">
            <w:rPr>
              <w:b/>
              <w:bCs/>
            </w:rPr>
            <w:fldChar w:fldCharType="end"/>
          </w:r>
        </w:p>
      </w:sdtContent>
    </w:sdt>
    <w:p w:rsidR="00B038A1" w:rsidRDefault="00B038A1" w:rsidP="00DF128A">
      <w:pPr>
        <w:pStyle w:val="Nadpis3"/>
        <w:keepNext w:val="0"/>
        <w:widowControl w:val="0"/>
        <w:numPr>
          <w:ilvl w:val="0"/>
          <w:numId w:val="0"/>
        </w:numPr>
        <w:spacing w:before="0" w:after="0" w:line="276" w:lineRule="auto"/>
        <w:ind w:firstLine="709"/>
        <w:jc w:val="center"/>
        <w:rPr>
          <w:rFonts w:ascii="Times New Roman" w:hAnsi="Times New Roman" w:cs="Times New Roman"/>
          <w:sz w:val="24"/>
          <w:szCs w:val="24"/>
        </w:rPr>
      </w:pPr>
    </w:p>
    <w:p w:rsidR="00B038A1" w:rsidRDefault="00B038A1" w:rsidP="00B038A1">
      <w:pPr>
        <w:rPr>
          <w:rFonts w:eastAsia="Times New Roman"/>
          <w:lang w:eastAsia="cs-CZ"/>
        </w:rPr>
      </w:pPr>
      <w:r>
        <w:br w:type="page"/>
      </w:r>
    </w:p>
    <w:p w:rsidR="00DF128A" w:rsidRPr="00B038A1" w:rsidRDefault="00DF128A" w:rsidP="009B5078">
      <w:pPr>
        <w:pStyle w:val="Nadpis1"/>
        <w:ind w:firstLine="0"/>
      </w:pPr>
      <w:bookmarkStart w:id="0" w:name="_Toc331023953"/>
      <w:r w:rsidRPr="00B038A1">
        <w:lastRenderedPageBreak/>
        <w:t>MEZINÁRODNÍ MĚNOVÝ FOND</w:t>
      </w:r>
      <w:bookmarkEnd w:id="0"/>
    </w:p>
    <w:p w:rsidR="00DF128A" w:rsidRPr="00B038A1" w:rsidRDefault="00DF128A" w:rsidP="00B038A1">
      <w:pPr>
        <w:pStyle w:val="Nadpis1"/>
      </w:pPr>
    </w:p>
    <w:p w:rsidR="00DF128A" w:rsidRPr="00B038A1" w:rsidRDefault="00DF128A" w:rsidP="00B038A1">
      <w:pPr>
        <w:pStyle w:val="Nadpis1"/>
        <w:rPr>
          <w:b w:val="0"/>
          <w:i/>
        </w:rPr>
      </w:pPr>
      <w:bookmarkStart w:id="1" w:name="_Toc301254949"/>
      <w:bookmarkStart w:id="2" w:name="_Toc301255425"/>
      <w:bookmarkStart w:id="3" w:name="_Toc331023954"/>
      <w:r w:rsidRPr="00B038A1">
        <w:rPr>
          <w:b w:val="0"/>
          <w:i/>
        </w:rPr>
        <w:t>Věra Markovská</w:t>
      </w:r>
      <w:bookmarkEnd w:id="1"/>
      <w:bookmarkEnd w:id="2"/>
      <w:bookmarkEnd w:id="3"/>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pStyle w:val="Nadpis3"/>
        <w:keepNext w:val="0"/>
        <w:widowControl w:val="0"/>
        <w:numPr>
          <w:ilvl w:val="0"/>
          <w:numId w:val="0"/>
        </w:numPr>
        <w:spacing w:before="0" w:after="0" w:line="276" w:lineRule="auto"/>
        <w:ind w:firstLine="709"/>
        <w:jc w:val="both"/>
        <w:rPr>
          <w:rFonts w:ascii="Times New Roman" w:hAnsi="Times New Roman" w:cs="Times New Roman"/>
          <w:b w:val="0"/>
          <w:bCs w:val="0"/>
          <w:sz w:val="24"/>
          <w:szCs w:val="24"/>
        </w:rPr>
      </w:pPr>
      <w:bookmarkStart w:id="4" w:name="_Toc301254950"/>
      <w:bookmarkStart w:id="5" w:name="_Toc301255426"/>
      <w:bookmarkStart w:id="6" w:name="_Toc331023955"/>
      <w:r w:rsidRPr="00DF128A">
        <w:rPr>
          <w:rFonts w:ascii="Times New Roman" w:hAnsi="Times New Roman" w:cs="Times New Roman"/>
          <w:b w:val="0"/>
          <w:bCs w:val="0"/>
          <w:sz w:val="24"/>
          <w:szCs w:val="24"/>
        </w:rPr>
        <w:t>Tato seminární práce se zabývá mezinárodní měnovou institucí, která svým děním již více než 50 let přispívá ke globalizaci světové ekonomiky a politiky. Hlavním cílem práce je charakteristika Mezinárodního měnového fondu (dále jen MMF), tzn. důvod vzniku MMF, organizace MMF, důsledky členství v MMF a činnost MMF. Práce se snaží zaujmout kritický postoj k činnosti MMF a na konkrétních příkladech uvádí negativní dopady jeho politiky prosazované v jednotlivých členských státech.</w:t>
      </w:r>
      <w:bookmarkEnd w:id="4"/>
      <w:bookmarkEnd w:id="5"/>
      <w:bookmarkEnd w:id="6"/>
    </w:p>
    <w:p w:rsidR="00DF128A" w:rsidRPr="00DF128A" w:rsidRDefault="00DF128A" w:rsidP="00DF128A">
      <w:pPr>
        <w:pStyle w:val="Nadpis3"/>
        <w:keepNext w:val="0"/>
        <w:widowControl w:val="0"/>
        <w:numPr>
          <w:ilvl w:val="0"/>
          <w:numId w:val="0"/>
        </w:numPr>
        <w:spacing w:before="0" w:after="0" w:line="276" w:lineRule="auto"/>
        <w:ind w:firstLine="709"/>
        <w:jc w:val="both"/>
        <w:rPr>
          <w:rFonts w:ascii="Times New Roman" w:hAnsi="Times New Roman" w:cs="Times New Roman"/>
          <w:sz w:val="24"/>
          <w:szCs w:val="24"/>
        </w:rPr>
      </w:pPr>
    </w:p>
    <w:p w:rsidR="00DF128A" w:rsidRPr="00953812" w:rsidRDefault="00953812" w:rsidP="00953812">
      <w:pPr>
        <w:rPr>
          <w:rFonts w:ascii="Times New Roman" w:hAnsi="Times New Roman" w:cs="Times New Roman"/>
          <w:b/>
          <w:sz w:val="24"/>
          <w:szCs w:val="24"/>
        </w:rPr>
      </w:pPr>
      <w:r w:rsidRPr="00953812">
        <w:rPr>
          <w:rFonts w:ascii="Times New Roman" w:hAnsi="Times New Roman" w:cs="Times New Roman"/>
          <w:b/>
          <w:sz w:val="24"/>
          <w:szCs w:val="24"/>
        </w:rPr>
        <w:t>Vznik MMF</w:t>
      </w:r>
    </w:p>
    <w:p w:rsidR="00DF128A" w:rsidRPr="00DF128A" w:rsidRDefault="00DF128A" w:rsidP="00DF128A">
      <w:pPr>
        <w:pStyle w:val="Zkladntext"/>
        <w:widowControl w:val="0"/>
        <w:spacing w:after="0"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Mezinárodní měnový fond (ang. </w:t>
      </w:r>
      <w:r w:rsidRPr="00DF128A">
        <w:rPr>
          <w:rFonts w:ascii="Times New Roman" w:hAnsi="Times New Roman" w:cs="Times New Roman"/>
          <w:iCs/>
          <w:spacing w:val="6"/>
          <w:sz w:val="24"/>
          <w:szCs w:val="24"/>
        </w:rPr>
        <w:t>International Monetary Fund, IMF)</w:t>
      </w:r>
      <w:r w:rsidRPr="00DF128A">
        <w:rPr>
          <w:rFonts w:ascii="Times New Roman" w:hAnsi="Times New Roman" w:cs="Times New Roman"/>
          <w:sz w:val="24"/>
          <w:szCs w:val="24"/>
        </w:rPr>
        <w:t xml:space="preserve"> byl založen 22. července 1944 na Měnové a finanční konferenci v Bretton Woods v USA za účasti delegátů ze 44 zemí. Základní dokument upravující poslání a fungování MMF, tzv. </w:t>
      </w:r>
      <w:r w:rsidRPr="00DF128A">
        <w:rPr>
          <w:rFonts w:ascii="Times New Roman" w:hAnsi="Times New Roman" w:cs="Times New Roman"/>
          <w:i/>
          <w:iCs/>
          <w:sz w:val="24"/>
          <w:szCs w:val="24"/>
        </w:rPr>
        <w:t>Články dohody (The Articles of Agreement)</w:t>
      </w:r>
      <w:r w:rsidRPr="00DF128A">
        <w:rPr>
          <w:rFonts w:ascii="Times New Roman" w:hAnsi="Times New Roman" w:cs="Times New Roman"/>
          <w:sz w:val="24"/>
          <w:szCs w:val="24"/>
        </w:rPr>
        <w:t>, vešel v platnost 27. prosince 1945, kdy ho podepsalo 29 vlád včetně vlády československé. Svou činnost zahájil MMF 1. března 1947 a jeho sídlem se stal Washington, D.C. (Marková 2002).</w:t>
      </w:r>
    </w:p>
    <w:p w:rsidR="00DF128A" w:rsidRPr="00DF128A" w:rsidRDefault="00DF128A" w:rsidP="00DF128A">
      <w:pPr>
        <w:pStyle w:val="Zkladntext"/>
        <w:widowControl w:val="0"/>
        <w:spacing w:after="0"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Hlavním důvodem vzniku MMF byla snaha vytvořit takový mezinárodní měnový systém, který by podporoval rozvoj mezinárodního obchodu, zajišťoval stabilitu mezinárodních hospodářských vztahů a byl schopen čelit podobným ekonomickým obtížím, jako byla velká hospodářská krize ve 30. letech. Dalším cílem MMF bylo vytvořit fungující finanční instituci, která by zajistila poválečnou obnovu států.</w:t>
      </w:r>
    </w:p>
    <w:p w:rsidR="00DF128A" w:rsidRPr="00DF128A" w:rsidRDefault="00DF128A" w:rsidP="00DF128A">
      <w:pPr>
        <w:widowControl w:val="0"/>
        <w:spacing w:line="276" w:lineRule="auto"/>
        <w:ind w:firstLine="709"/>
        <w:jc w:val="both"/>
        <w:rPr>
          <w:rFonts w:ascii="Times New Roman" w:hAnsi="Times New Roman" w:cs="Times New Roman"/>
          <w:sz w:val="24"/>
          <w:szCs w:val="24"/>
          <w:u w:val="single"/>
        </w:rPr>
      </w:pPr>
    </w:p>
    <w:p w:rsidR="00DF128A" w:rsidRPr="00953812" w:rsidRDefault="00DF128A" w:rsidP="00953812">
      <w:pPr>
        <w:rPr>
          <w:rFonts w:ascii="Times New Roman" w:hAnsi="Times New Roman" w:cs="Times New Roman"/>
          <w:b/>
          <w:sz w:val="24"/>
          <w:szCs w:val="24"/>
        </w:rPr>
      </w:pPr>
      <w:r w:rsidRPr="00953812">
        <w:rPr>
          <w:rFonts w:ascii="Times New Roman" w:hAnsi="Times New Roman" w:cs="Times New Roman"/>
          <w:b/>
          <w:sz w:val="24"/>
          <w:szCs w:val="24"/>
        </w:rPr>
        <w:t>V</w:t>
      </w:r>
      <w:r w:rsidR="00953812">
        <w:rPr>
          <w:rFonts w:ascii="Times New Roman" w:hAnsi="Times New Roman" w:cs="Times New Roman"/>
          <w:b/>
          <w:sz w:val="24"/>
          <w:szCs w:val="24"/>
        </w:rPr>
        <w:t>nitřní struktura</w:t>
      </w:r>
      <w:r w:rsidRPr="00953812">
        <w:rPr>
          <w:rFonts w:ascii="Times New Roman" w:hAnsi="Times New Roman" w:cs="Times New Roman"/>
          <w:b/>
          <w:sz w:val="24"/>
          <w:szCs w:val="24"/>
        </w:rPr>
        <w:t xml:space="preserve"> MMF</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Činnost MMF je řízena několika základními výkonnými orgány. Vrcholným orgánem MMF je </w:t>
      </w:r>
      <w:r w:rsidRPr="00DF128A">
        <w:rPr>
          <w:rFonts w:ascii="Times New Roman" w:hAnsi="Times New Roman" w:cs="Times New Roman"/>
          <w:i/>
          <w:iCs/>
          <w:sz w:val="24"/>
          <w:szCs w:val="24"/>
        </w:rPr>
        <w:t>Rada guvernérů</w:t>
      </w:r>
      <w:r w:rsidRPr="00DF128A">
        <w:rPr>
          <w:rFonts w:ascii="Times New Roman" w:hAnsi="Times New Roman" w:cs="Times New Roman"/>
          <w:b/>
          <w:bCs/>
          <w:sz w:val="24"/>
          <w:szCs w:val="24"/>
        </w:rPr>
        <w:t xml:space="preserve"> </w:t>
      </w:r>
      <w:r w:rsidRPr="00DF128A">
        <w:rPr>
          <w:rFonts w:ascii="Times New Roman" w:hAnsi="Times New Roman" w:cs="Times New Roman"/>
          <w:i/>
          <w:iCs/>
          <w:sz w:val="24"/>
          <w:szCs w:val="24"/>
        </w:rPr>
        <w:t>(Board of Governors)</w:t>
      </w:r>
      <w:r w:rsidRPr="00DF128A">
        <w:rPr>
          <w:rFonts w:ascii="Times New Roman" w:hAnsi="Times New Roman" w:cs="Times New Roman"/>
          <w:sz w:val="24"/>
          <w:szCs w:val="24"/>
        </w:rPr>
        <w:t>, ve které je každý členský stát zastoupen jedním guvernérem a jeho zástupcem</w:t>
      </w:r>
      <w:r w:rsidRPr="00DF128A">
        <w:rPr>
          <w:rStyle w:val="Znakapoznpodarou"/>
          <w:rFonts w:ascii="Times New Roman" w:hAnsi="Times New Roman" w:cs="Times New Roman"/>
          <w:sz w:val="24"/>
          <w:szCs w:val="24"/>
        </w:rPr>
        <w:footnoteReference w:id="1"/>
      </w:r>
      <w:r w:rsidRPr="00DF128A">
        <w:rPr>
          <w:rFonts w:ascii="Times New Roman" w:hAnsi="Times New Roman" w:cs="Times New Roman"/>
          <w:sz w:val="24"/>
          <w:szCs w:val="24"/>
        </w:rPr>
        <w:t>. Guvernéři bývají většinou ministry financí či řediteli centrálních bank jednotlivých členských států. Rada guvernérů je oprávněná přijímat nové členy MMF, určovat výši členských kvót, přidělovat SDR (viz níže) a obecně rozhoduje o základních otázkách činnosti MMF. R</w:t>
      </w:r>
      <w:r w:rsidRPr="00DF128A">
        <w:rPr>
          <w:rFonts w:ascii="Times New Roman" w:hAnsi="Times New Roman" w:cs="Times New Roman"/>
          <w:color w:val="000000"/>
          <w:sz w:val="24"/>
          <w:szCs w:val="24"/>
        </w:rPr>
        <w:t xml:space="preserve">ada se obvykle schází jednou ročně (typicky v září nebo říjnu) na společném setkání Světové banky a MMF. </w:t>
      </w:r>
      <w:r w:rsidRPr="00DF128A">
        <w:rPr>
          <w:rFonts w:ascii="Times New Roman" w:hAnsi="Times New Roman" w:cs="Times New Roman"/>
          <w:sz w:val="24"/>
          <w:szCs w:val="24"/>
        </w:rPr>
        <w:t xml:space="preserve">Poradním orgánem Rady guvernérů je tzv. </w:t>
      </w:r>
      <w:r w:rsidRPr="00DF128A">
        <w:rPr>
          <w:rFonts w:ascii="Times New Roman" w:hAnsi="Times New Roman" w:cs="Times New Roman"/>
          <w:i/>
          <w:iCs/>
          <w:sz w:val="24"/>
          <w:szCs w:val="24"/>
        </w:rPr>
        <w:t>Mezinárodní měnový a finanční výbor</w:t>
      </w:r>
      <w:r w:rsidRPr="00DF128A">
        <w:rPr>
          <w:rFonts w:ascii="Times New Roman" w:hAnsi="Times New Roman" w:cs="Times New Roman"/>
          <w:sz w:val="24"/>
          <w:szCs w:val="24"/>
        </w:rPr>
        <w:t xml:space="preserve"> </w:t>
      </w:r>
      <w:r w:rsidRPr="00DF128A">
        <w:rPr>
          <w:rFonts w:ascii="Times New Roman" w:hAnsi="Times New Roman" w:cs="Times New Roman"/>
          <w:i/>
          <w:iCs/>
          <w:sz w:val="24"/>
          <w:szCs w:val="24"/>
        </w:rPr>
        <w:t>(International Monetary and Financial Committee)</w:t>
      </w:r>
      <w:r w:rsidRPr="00DF128A">
        <w:rPr>
          <w:rFonts w:ascii="Times New Roman" w:hAnsi="Times New Roman" w:cs="Times New Roman"/>
          <w:sz w:val="24"/>
          <w:szCs w:val="24"/>
        </w:rPr>
        <w:t>, který tvoří 24 guvernérů (Liška 2003).</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Běžné záležitosti MMF řídí </w:t>
      </w:r>
      <w:r w:rsidRPr="00DF128A">
        <w:rPr>
          <w:rFonts w:ascii="Times New Roman" w:hAnsi="Times New Roman" w:cs="Times New Roman"/>
          <w:i/>
          <w:iCs/>
          <w:sz w:val="24"/>
          <w:szCs w:val="24"/>
        </w:rPr>
        <w:t>Rada výkonných ředitelů (Executive Board)</w:t>
      </w:r>
      <w:r w:rsidRPr="00DF128A">
        <w:rPr>
          <w:rFonts w:ascii="Times New Roman" w:hAnsi="Times New Roman" w:cs="Times New Roman"/>
          <w:sz w:val="24"/>
          <w:szCs w:val="24"/>
        </w:rPr>
        <w:t>, která se skládá z 24 zvolených nebo dosazených výkonných ředitelů. Státy USA, Rusko, Čína, Francie, Německo, Japonsko, Saudská Arábie a Velká Británie mají právo na svého vlastního výkonného ředitele. Zbylých 16 ředitelů zastupuje ostatní členské země seskupené do tzv. konstituencí</w:t>
      </w:r>
      <w:r w:rsidRPr="00DF128A">
        <w:rPr>
          <w:rStyle w:val="Znakapoznpodarou"/>
          <w:rFonts w:ascii="Times New Roman" w:hAnsi="Times New Roman" w:cs="Times New Roman"/>
          <w:sz w:val="24"/>
          <w:szCs w:val="24"/>
        </w:rPr>
        <w:footnoteReference w:id="2"/>
      </w:r>
      <w:r w:rsidRPr="00DF128A">
        <w:rPr>
          <w:rFonts w:ascii="Times New Roman" w:hAnsi="Times New Roman" w:cs="Times New Roman"/>
          <w:sz w:val="24"/>
          <w:szCs w:val="24"/>
        </w:rPr>
        <w:t>. Rada výkonných ředitelů se schází jednou až třikrát týdně a řeší záležitosti jednotlivých států - hodnotí jejich ekonomický vývoj a prosazuje v nich politiku doporučenou MMF (Liška 2003).</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lastRenderedPageBreak/>
        <w:t xml:space="preserve">Každých 5 let volí Rada výkonných ředitelů </w:t>
      </w:r>
      <w:r w:rsidRPr="00DF128A">
        <w:rPr>
          <w:rFonts w:ascii="Times New Roman" w:hAnsi="Times New Roman" w:cs="Times New Roman"/>
          <w:i/>
          <w:iCs/>
          <w:sz w:val="24"/>
          <w:szCs w:val="24"/>
        </w:rPr>
        <w:t>Generálního ředitele MMF</w:t>
      </w:r>
      <w:r w:rsidRPr="00DF128A">
        <w:rPr>
          <w:rFonts w:ascii="Times New Roman" w:hAnsi="Times New Roman" w:cs="Times New Roman"/>
          <w:b/>
          <w:bCs/>
          <w:sz w:val="24"/>
          <w:szCs w:val="24"/>
        </w:rPr>
        <w:t xml:space="preserve">, </w:t>
      </w:r>
      <w:r w:rsidRPr="00DF128A">
        <w:rPr>
          <w:rFonts w:ascii="Times New Roman" w:hAnsi="Times New Roman" w:cs="Times New Roman"/>
          <w:sz w:val="24"/>
          <w:szCs w:val="24"/>
        </w:rPr>
        <w:t xml:space="preserve">který </w:t>
      </w:r>
      <w:r w:rsidRPr="00DF128A">
        <w:rPr>
          <w:rFonts w:ascii="Times New Roman" w:hAnsi="Times New Roman" w:cs="Times New Roman"/>
          <w:bCs/>
          <w:sz w:val="24"/>
          <w:szCs w:val="24"/>
        </w:rPr>
        <w:t>reprezentuje MMF navenek. Podle tradice je Generálním ředitelem MMF vždy Evropan či alespoň ne Američan. V současné době tuto pozici zastává Francouz Dominique Strauss-Kahn (IMF 2010).</w:t>
      </w:r>
    </w:p>
    <w:p w:rsidR="00DF128A" w:rsidRPr="00DF128A" w:rsidRDefault="00DF128A" w:rsidP="00DF128A">
      <w:pPr>
        <w:pStyle w:val="Zkladntextodsazen"/>
        <w:widowControl w:val="0"/>
        <w:tabs>
          <w:tab w:val="left" w:pos="180"/>
        </w:tabs>
        <w:spacing w:line="276" w:lineRule="auto"/>
        <w:ind w:firstLine="709"/>
      </w:pPr>
      <w:r w:rsidRPr="00DF128A">
        <w:rPr>
          <w:color w:val="000000"/>
          <w:spacing w:val="6"/>
        </w:rPr>
        <w:t xml:space="preserve">Dalším orgánem MMF je </w:t>
      </w:r>
      <w:r w:rsidRPr="00DF128A">
        <w:rPr>
          <w:i/>
          <w:iCs/>
        </w:rPr>
        <w:t>Výbor pro rozvoj (Development Committee)</w:t>
      </w:r>
      <w:r w:rsidRPr="00DF128A">
        <w:t>, který se zabývá situací v rozvojových zemích. Tvoří jej 24 členů, jimiž jsou ministři financí nebo rozvoje. Výbor pro rozvoj je společným orgánem MMF a Světové banky (Liška 2003).</w:t>
      </w:r>
    </w:p>
    <w:p w:rsidR="00DF128A" w:rsidRPr="00DF128A" w:rsidRDefault="00DF128A" w:rsidP="00DF128A">
      <w:pPr>
        <w:pStyle w:val="Zkladntext2"/>
        <w:widowControl w:val="0"/>
        <w:spacing w:line="276" w:lineRule="auto"/>
        <w:ind w:firstLine="709"/>
        <w:rPr>
          <w:color w:val="000000"/>
          <w:spacing w:val="6"/>
        </w:rPr>
      </w:pPr>
      <w:r w:rsidRPr="00DF128A">
        <w:rPr>
          <w:color w:val="000000"/>
          <w:spacing w:val="6"/>
        </w:rPr>
        <w:t>Samotný management organizace se dělí podle geopolitických celků - Evropské oddělení, Africké oddělení, Oddělení Střední východu a Centrální Asie apod., a podle jednotlivých funkcí - Výzkumné oddělení, Finanční oddělení, Oddělení statistiky atd. (Prokopcová 2008).</w:t>
      </w:r>
    </w:p>
    <w:p w:rsidR="00DF128A" w:rsidRPr="00DF128A" w:rsidRDefault="00DF128A" w:rsidP="00DF128A">
      <w:pPr>
        <w:widowControl w:val="0"/>
        <w:spacing w:line="276" w:lineRule="auto"/>
        <w:ind w:firstLine="709"/>
        <w:jc w:val="both"/>
        <w:rPr>
          <w:rFonts w:ascii="Times New Roman" w:hAnsi="Times New Roman" w:cs="Times New Roman"/>
          <w:color w:val="000000"/>
          <w:spacing w:val="6"/>
          <w:sz w:val="24"/>
          <w:szCs w:val="24"/>
        </w:rPr>
      </w:pPr>
    </w:p>
    <w:p w:rsidR="00DF128A" w:rsidRPr="00DF128A" w:rsidRDefault="00DF128A" w:rsidP="00DF128A">
      <w:pPr>
        <w:widowControl w:val="0"/>
        <w:spacing w:line="276" w:lineRule="auto"/>
        <w:ind w:firstLine="709"/>
        <w:jc w:val="both"/>
        <w:rPr>
          <w:rFonts w:ascii="Times New Roman" w:hAnsi="Times New Roman" w:cs="Times New Roman"/>
          <w:b/>
          <w:bCs/>
          <w:color w:val="000000"/>
          <w:spacing w:val="6"/>
          <w:sz w:val="24"/>
          <w:szCs w:val="24"/>
        </w:rPr>
      </w:pPr>
    </w:p>
    <w:p w:rsidR="00DF128A" w:rsidRPr="00953812" w:rsidRDefault="00DF128A" w:rsidP="00953812">
      <w:pPr>
        <w:rPr>
          <w:rFonts w:ascii="Times New Roman" w:hAnsi="Times New Roman" w:cs="Times New Roman"/>
          <w:b/>
          <w:sz w:val="24"/>
          <w:szCs w:val="24"/>
        </w:rPr>
      </w:pPr>
      <w:r w:rsidRPr="00953812">
        <w:rPr>
          <w:rFonts w:ascii="Times New Roman" w:hAnsi="Times New Roman" w:cs="Times New Roman"/>
          <w:b/>
          <w:sz w:val="24"/>
          <w:szCs w:val="24"/>
        </w:rPr>
        <w:t>Č</w:t>
      </w:r>
      <w:r w:rsidR="00953812">
        <w:rPr>
          <w:rFonts w:ascii="Times New Roman" w:hAnsi="Times New Roman" w:cs="Times New Roman"/>
          <w:b/>
          <w:sz w:val="24"/>
          <w:szCs w:val="24"/>
        </w:rPr>
        <w:t>lenství v</w:t>
      </w:r>
      <w:r w:rsidRPr="00953812">
        <w:rPr>
          <w:rFonts w:ascii="Times New Roman" w:hAnsi="Times New Roman" w:cs="Times New Roman"/>
          <w:b/>
          <w:sz w:val="24"/>
          <w:szCs w:val="24"/>
        </w:rPr>
        <w:t xml:space="preserve"> MMF</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Členem MMF se může stát každá země, která o členství oficiálně požádá. Žádosti o přijetí jsou předkládány Radě výkonných ředitelů, která je následně s konkrétním stanoviskem předloží Radě guvernérů. O veškeré náležitosti členství se zpravidla starají národní banky jednotlivých států, které také nejvíce využívají možnosti technické podpory a poradenství a fungují jako hlavní komunikační centra mezi jednotlivými členy a hlavní organizací. Každá země má právo na základě písemného oznámení o ukončení členství z MMF kdykoliv vystoupit.</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Zakládajícími členy MMF je 29 zemí, které byly přítomny na brettonwoodské konferenci a jejichž vlády zároveň ratifikovaly dohodu o jeho založení do 27. prosince 1945. Členská základna se postupně zvyšovala a v současné době má MMF 186 členů (IMF 2010). </w:t>
      </w:r>
    </w:p>
    <w:p w:rsidR="00DF128A" w:rsidRPr="00DF128A" w:rsidRDefault="00DF128A" w:rsidP="00DF128A">
      <w:pPr>
        <w:widowControl w:val="0"/>
        <w:spacing w:line="276" w:lineRule="auto"/>
        <w:ind w:firstLine="709"/>
        <w:jc w:val="both"/>
        <w:rPr>
          <w:rFonts w:ascii="Times New Roman" w:hAnsi="Times New Roman" w:cs="Times New Roman"/>
          <w:bCs/>
          <w:sz w:val="24"/>
          <w:szCs w:val="24"/>
        </w:rPr>
      </w:pPr>
      <w:r w:rsidRPr="00DF128A">
        <w:rPr>
          <w:rFonts w:ascii="Times New Roman" w:hAnsi="Times New Roman" w:cs="Times New Roman"/>
          <w:bCs/>
          <w:sz w:val="24"/>
          <w:szCs w:val="24"/>
        </w:rPr>
        <w:t>Členství v MMF sebou přináší řadu výhod, ale také povinností. Mezi základní výhody, které členství v MMF přináší, patří možnost čerpat z finančních zdrojů MMF při úrokových sazbách, které jsou zpravidla výhodnější než sazby tržní. Členské státy mohou využívat poradenské a jiné technické služby poskytované MMF, získávat statistické informace o ostatních členech MMF a podílet se na směřování mezinárodní politiky ve finanční oblasti. Členové MMF jsou také více důvěryhodní na mezinárodních finančních trzích, čímž se pro ně stává snadnější čerpání úvěrů. Každá členská země se může stát členem Světové banky a k ní přidružených institucí a podílet se tak na investičních akcích úvěrovaných těmito institucemi. Zástupci členských států MMF si mohou zvyšovat odbornou kvalifikaci prostřednictvím různých specializovaných seminářů, kurzů a školení pořádaných v rámci MMF.</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Hlavní povinností každého členského státu je splatit určenou členskou kvótu. Dále musí členské země splácet finanční zdroje čerpané z MMF včetně všech poplatků a úroků. Členové musí při své hospodářské politice dbát na to, aby tato politika vytvářela předpoklady pro plynulý růst HDP při stabilním cenovém vývoji, a usilovat o směnitelnost své měny pro běžné transakce. Členské státy jsou povinny poskytovat MMF veškeré informace nezbytné k jeho činnosti (např. údaje o držbě a těžbě zlata, národním důchodu, cenových indexech, stavu mezinárodních investic, celkových vývozech a dovozech, atd.). Samozřejmostí je plná spolupráce s orgány MMF.</w:t>
      </w:r>
    </w:p>
    <w:p w:rsidR="00DF128A" w:rsidRPr="00DF128A" w:rsidRDefault="00DF128A" w:rsidP="00DF128A">
      <w:pPr>
        <w:widowControl w:val="0"/>
        <w:spacing w:line="276" w:lineRule="auto"/>
        <w:ind w:firstLine="709"/>
        <w:jc w:val="both"/>
        <w:rPr>
          <w:rFonts w:ascii="Times New Roman" w:hAnsi="Times New Roman" w:cs="Times New Roman"/>
          <w:bCs/>
          <w:spacing w:val="6"/>
          <w:sz w:val="24"/>
          <w:szCs w:val="24"/>
        </w:rPr>
      </w:pPr>
      <w:r w:rsidRPr="00DF128A">
        <w:rPr>
          <w:rFonts w:ascii="Times New Roman" w:hAnsi="Times New Roman" w:cs="Times New Roman"/>
          <w:sz w:val="24"/>
          <w:szCs w:val="24"/>
        </w:rPr>
        <w:t xml:space="preserve">Každému členskému státu je stanovena tzv. členská kvóta, vymezená na základě ekonomické síly země. Členskou kvótu je členský stát povinen splatit do šesti měsíců od </w:t>
      </w:r>
      <w:r w:rsidRPr="00DF128A">
        <w:rPr>
          <w:rFonts w:ascii="Times New Roman" w:hAnsi="Times New Roman" w:cs="Times New Roman"/>
          <w:sz w:val="24"/>
          <w:szCs w:val="24"/>
        </w:rPr>
        <w:lastRenderedPageBreak/>
        <w:t>vstupu do MMF, a to z</w:t>
      </w:r>
      <w:r w:rsidR="009E3EA6">
        <w:rPr>
          <w:rFonts w:ascii="Times New Roman" w:hAnsi="Times New Roman" w:cs="Times New Roman"/>
          <w:sz w:val="24"/>
          <w:szCs w:val="24"/>
        </w:rPr>
        <w:t> </w:t>
      </w:r>
      <w:r w:rsidRPr="00DF128A">
        <w:rPr>
          <w:rFonts w:ascii="Times New Roman" w:hAnsi="Times New Roman" w:cs="Times New Roman"/>
          <w:sz w:val="24"/>
          <w:szCs w:val="24"/>
        </w:rPr>
        <w:t>25</w:t>
      </w:r>
      <w:r w:rsidR="009E3EA6">
        <w:rPr>
          <w:rFonts w:ascii="Times New Roman" w:hAnsi="Times New Roman" w:cs="Times New Roman"/>
          <w:sz w:val="24"/>
          <w:szCs w:val="24"/>
        </w:rPr>
        <w:t xml:space="preserve"> </w:t>
      </w:r>
      <w:r w:rsidRPr="00DF128A">
        <w:rPr>
          <w:rFonts w:ascii="Times New Roman" w:hAnsi="Times New Roman" w:cs="Times New Roman"/>
          <w:sz w:val="24"/>
          <w:szCs w:val="24"/>
        </w:rPr>
        <w:t>% ve směnitelné měně určené MMF a ze 75</w:t>
      </w:r>
      <w:r w:rsidR="009E3EA6">
        <w:rPr>
          <w:rFonts w:ascii="Times New Roman" w:hAnsi="Times New Roman" w:cs="Times New Roman"/>
          <w:sz w:val="24"/>
          <w:szCs w:val="24"/>
        </w:rPr>
        <w:t xml:space="preserve"> </w:t>
      </w:r>
      <w:r w:rsidRPr="00DF128A">
        <w:rPr>
          <w:rFonts w:ascii="Times New Roman" w:hAnsi="Times New Roman" w:cs="Times New Roman"/>
          <w:sz w:val="24"/>
          <w:szCs w:val="24"/>
        </w:rPr>
        <w:t>% v národní měně dané země (Marková</w:t>
      </w:r>
      <w:r w:rsidR="009E3EA6">
        <w:rPr>
          <w:rFonts w:ascii="Times New Roman" w:hAnsi="Times New Roman" w:cs="Times New Roman"/>
          <w:sz w:val="24"/>
          <w:szCs w:val="24"/>
        </w:rPr>
        <w:t xml:space="preserve"> </w:t>
      </w:r>
      <w:r w:rsidRPr="00DF128A">
        <w:rPr>
          <w:rFonts w:ascii="Times New Roman" w:hAnsi="Times New Roman" w:cs="Times New Roman"/>
          <w:sz w:val="24"/>
          <w:szCs w:val="24"/>
        </w:rPr>
        <w:t>2002). V maximálně pětiletých intervalech jsou členské kvóty přehodnocovány, aby vytvářely přiměřenou finanční základnu MMF, reflektovaly růst světové ekonomiky a reagovaly na změny ekonomického postavení jednotlivých členských států. Výše členské kvóty určuje hlasovací sílu daného státu, rozsah finančních prostředků, které může členská země od MMF čerpat a objem zvláštních práv čerpání, tzv. SDR – Special Drawing Rights (viz níže).</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953812" w:rsidRDefault="00DF128A" w:rsidP="00953812">
      <w:pPr>
        <w:rPr>
          <w:rFonts w:ascii="Times New Roman" w:hAnsi="Times New Roman" w:cs="Times New Roman"/>
          <w:b/>
          <w:sz w:val="24"/>
          <w:szCs w:val="24"/>
        </w:rPr>
      </w:pPr>
      <w:bookmarkStart w:id="7" w:name="_Toc301254951"/>
      <w:bookmarkStart w:id="8" w:name="_Toc301255427"/>
      <w:r w:rsidRPr="00953812">
        <w:rPr>
          <w:rFonts w:ascii="Times New Roman" w:hAnsi="Times New Roman" w:cs="Times New Roman"/>
          <w:b/>
          <w:sz w:val="24"/>
          <w:szCs w:val="24"/>
        </w:rPr>
        <w:t>Hlasovací síla</w:t>
      </w:r>
      <w:bookmarkEnd w:id="7"/>
      <w:bookmarkEnd w:id="8"/>
    </w:p>
    <w:p w:rsidR="00DF128A" w:rsidRPr="00DF128A" w:rsidRDefault="00DF128A" w:rsidP="00DF128A">
      <w:pPr>
        <w:widowControl w:val="0"/>
        <w:spacing w:line="276" w:lineRule="auto"/>
        <w:ind w:firstLine="709"/>
        <w:jc w:val="both"/>
        <w:rPr>
          <w:rFonts w:ascii="Times New Roman" w:hAnsi="Times New Roman" w:cs="Times New Roman"/>
          <w:color w:val="000000"/>
          <w:sz w:val="24"/>
          <w:szCs w:val="24"/>
        </w:rPr>
      </w:pPr>
      <w:r w:rsidRPr="00DF128A">
        <w:rPr>
          <w:rFonts w:ascii="Times New Roman" w:hAnsi="Times New Roman" w:cs="Times New Roman"/>
          <w:sz w:val="24"/>
          <w:szCs w:val="24"/>
        </w:rPr>
        <w:t>Jak bylo uvedeno výše, hlasovací síla členského státu je odvozena od jeho členské kvóty a ta zase od ekonomické vyspělosti státu</w:t>
      </w:r>
      <w:r w:rsidRPr="00DF128A">
        <w:rPr>
          <w:rStyle w:val="Znakapoznpodarou"/>
          <w:rFonts w:ascii="Times New Roman" w:hAnsi="Times New Roman" w:cs="Times New Roman"/>
          <w:sz w:val="24"/>
          <w:szCs w:val="24"/>
        </w:rPr>
        <w:footnoteReference w:id="3"/>
      </w:r>
      <w:r w:rsidRPr="00DF128A">
        <w:rPr>
          <w:rFonts w:ascii="Times New Roman" w:hAnsi="Times New Roman" w:cs="Times New Roman"/>
          <w:sz w:val="24"/>
          <w:szCs w:val="24"/>
        </w:rPr>
        <w:t>. Tento systém nerovného rozdělení hlasovací síly byl konstruován tak, aby chránil zájmy a podporoval spolupráci těch členských zemí, které se nejvíce podílejí na mezinárodním obchodu a finančních transakcích. Tato skutečnost bývá často silně kritizována, jelikož je chápána jako podpora dominance rozvinutých zemí nad méně rozvinutými</w:t>
      </w:r>
      <w:r w:rsidRPr="00DF128A">
        <w:rPr>
          <w:rFonts w:ascii="Times New Roman" w:hAnsi="Times New Roman" w:cs="Times New Roman"/>
          <w:color w:val="000000"/>
          <w:sz w:val="24"/>
          <w:szCs w:val="24"/>
        </w:rPr>
        <w:t xml:space="preserve">. </w:t>
      </w:r>
    </w:p>
    <w:p w:rsidR="00DF128A" w:rsidRPr="00DF128A" w:rsidRDefault="00DF128A" w:rsidP="00DF128A">
      <w:pPr>
        <w:widowControl w:val="0"/>
        <w:spacing w:line="276" w:lineRule="auto"/>
        <w:ind w:firstLine="709"/>
        <w:jc w:val="both"/>
        <w:rPr>
          <w:rFonts w:ascii="Times New Roman" w:hAnsi="Times New Roman" w:cs="Times New Roman"/>
          <w:color w:val="000000"/>
          <w:sz w:val="24"/>
          <w:szCs w:val="24"/>
        </w:rPr>
      </w:pPr>
    </w:p>
    <w:p w:rsidR="00DF128A" w:rsidRPr="00DF128A" w:rsidRDefault="00DF128A" w:rsidP="009E3EA6">
      <w:pPr>
        <w:widowControl w:val="0"/>
        <w:jc w:val="both"/>
        <w:rPr>
          <w:rFonts w:ascii="Times New Roman" w:hAnsi="Times New Roman" w:cs="Times New Roman"/>
          <w:color w:val="000000"/>
          <w:sz w:val="24"/>
          <w:szCs w:val="24"/>
        </w:rPr>
      </w:pPr>
      <w:r w:rsidRPr="00DF128A">
        <w:rPr>
          <w:rFonts w:ascii="Times New Roman" w:hAnsi="Times New Roman" w:cs="Times New Roman"/>
          <w:noProof/>
          <w:color w:val="000000"/>
          <w:sz w:val="24"/>
          <w:szCs w:val="24"/>
          <w:lang w:eastAsia="cs-CZ"/>
        </w:rPr>
        <w:drawing>
          <wp:inline distT="0" distB="0" distL="0" distR="0" wp14:anchorId="23735171" wp14:editId="1A080EB4">
            <wp:extent cx="5753100" cy="3190875"/>
            <wp:effectExtent l="19050" t="19050" r="19050" b="28575"/>
            <wp:docPr id="1" name="obrázek 1" descr="voting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ting power"/>
                    <pic:cNvPicPr>
                      <a:picLocks noChangeAspect="1" noChangeArrowheads="1"/>
                    </pic:cNvPicPr>
                  </pic:nvPicPr>
                  <pic:blipFill>
                    <a:blip r:embed="rId11"/>
                    <a:srcRect/>
                    <a:stretch>
                      <a:fillRect/>
                    </a:stretch>
                  </pic:blipFill>
                  <pic:spPr bwMode="auto">
                    <a:xfrm>
                      <a:off x="0" y="0"/>
                      <a:ext cx="5753100" cy="3190875"/>
                    </a:xfrm>
                    <a:prstGeom prst="rect">
                      <a:avLst/>
                    </a:prstGeom>
                    <a:noFill/>
                    <a:ln w="6350" cmpd="sng">
                      <a:solidFill>
                        <a:srgbClr val="000000"/>
                      </a:solidFill>
                      <a:miter lim="800000"/>
                      <a:headEnd/>
                      <a:tailEnd/>
                    </a:ln>
                    <a:effectLst/>
                  </pic:spPr>
                </pic:pic>
              </a:graphicData>
            </a:graphic>
          </wp:inline>
        </w:drawing>
      </w:r>
    </w:p>
    <w:p w:rsidR="00DF128A" w:rsidRPr="00DF128A" w:rsidRDefault="00DF128A" w:rsidP="009E3EA6">
      <w:pPr>
        <w:widowControl w:val="0"/>
        <w:jc w:val="both"/>
        <w:rPr>
          <w:rFonts w:ascii="Times New Roman" w:hAnsi="Times New Roman" w:cs="Times New Roman"/>
          <w:color w:val="000000"/>
          <w:sz w:val="24"/>
          <w:szCs w:val="24"/>
        </w:rPr>
      </w:pPr>
      <w:r w:rsidRPr="00DF128A">
        <w:rPr>
          <w:rFonts w:ascii="Times New Roman" w:hAnsi="Times New Roman" w:cs="Times New Roman"/>
          <w:b/>
          <w:bCs/>
          <w:color w:val="000000"/>
          <w:sz w:val="24"/>
          <w:szCs w:val="24"/>
        </w:rPr>
        <w:t>Obr. 1</w:t>
      </w:r>
      <w:r w:rsidR="009E3EA6">
        <w:rPr>
          <w:rFonts w:ascii="Times New Roman" w:hAnsi="Times New Roman" w:cs="Times New Roman"/>
          <w:b/>
          <w:bCs/>
          <w:color w:val="000000"/>
          <w:sz w:val="24"/>
          <w:szCs w:val="24"/>
        </w:rPr>
        <w:t>:</w:t>
      </w:r>
      <w:r w:rsidRPr="00DF128A">
        <w:rPr>
          <w:rFonts w:ascii="Times New Roman" w:hAnsi="Times New Roman" w:cs="Times New Roman"/>
          <w:color w:val="000000"/>
          <w:sz w:val="24"/>
          <w:szCs w:val="24"/>
        </w:rPr>
        <w:t xml:space="preserve"> Hlasovací síla jednotlivých členů MMF</w:t>
      </w:r>
    </w:p>
    <w:p w:rsidR="00DF128A" w:rsidRPr="00DF128A" w:rsidRDefault="00DF128A" w:rsidP="009E3EA6">
      <w:pPr>
        <w:widowControl w:val="0"/>
        <w:jc w:val="both"/>
        <w:rPr>
          <w:rFonts w:ascii="Times New Roman" w:hAnsi="Times New Roman" w:cs="Times New Roman"/>
          <w:i/>
          <w:iCs/>
          <w:sz w:val="20"/>
          <w:szCs w:val="20"/>
        </w:rPr>
      </w:pPr>
      <w:r w:rsidRPr="00DF128A">
        <w:rPr>
          <w:rFonts w:ascii="Times New Roman" w:hAnsi="Times New Roman" w:cs="Times New Roman"/>
          <w:i/>
          <w:iCs/>
          <w:sz w:val="20"/>
          <w:szCs w:val="20"/>
        </w:rPr>
        <w:t>Zdroj: Sameh El-Shahat 2009</w:t>
      </w:r>
    </w:p>
    <w:p w:rsidR="00DF128A" w:rsidRPr="00DF128A" w:rsidRDefault="00DF128A" w:rsidP="00DF128A">
      <w:pPr>
        <w:widowControl w:val="0"/>
        <w:spacing w:line="276" w:lineRule="auto"/>
        <w:ind w:firstLine="709"/>
        <w:jc w:val="both"/>
        <w:rPr>
          <w:rFonts w:ascii="Times New Roman" w:hAnsi="Times New Roman" w:cs="Times New Roman"/>
          <w:iCs/>
          <w:color w:val="000000"/>
          <w:sz w:val="24"/>
          <w:szCs w:val="24"/>
        </w:rPr>
      </w:pPr>
    </w:p>
    <w:p w:rsidR="00DF128A" w:rsidRPr="00DF128A" w:rsidRDefault="00DF128A" w:rsidP="009E3EA6">
      <w:pPr>
        <w:widowControl w:val="0"/>
        <w:jc w:val="both"/>
        <w:rPr>
          <w:rFonts w:ascii="Times New Roman" w:hAnsi="Times New Roman" w:cs="Times New Roman"/>
          <w:sz w:val="24"/>
          <w:szCs w:val="24"/>
        </w:rPr>
      </w:pPr>
      <w:r w:rsidRPr="00DF128A">
        <w:rPr>
          <w:rFonts w:ascii="Times New Roman" w:hAnsi="Times New Roman" w:cs="Times New Roman"/>
          <w:b/>
          <w:bCs/>
          <w:color w:val="000000"/>
          <w:sz w:val="24"/>
          <w:szCs w:val="24"/>
        </w:rPr>
        <w:t>Tab. 1</w:t>
      </w:r>
      <w:r w:rsidR="009E3EA6">
        <w:rPr>
          <w:rFonts w:ascii="Times New Roman" w:hAnsi="Times New Roman" w:cs="Times New Roman"/>
          <w:b/>
          <w:bCs/>
          <w:color w:val="000000"/>
          <w:sz w:val="24"/>
          <w:szCs w:val="24"/>
        </w:rPr>
        <w:t>:</w:t>
      </w:r>
      <w:r w:rsidRPr="00DF128A">
        <w:rPr>
          <w:rFonts w:ascii="Times New Roman" w:hAnsi="Times New Roman" w:cs="Times New Roman"/>
          <w:color w:val="000000"/>
          <w:sz w:val="24"/>
          <w:szCs w:val="24"/>
        </w:rPr>
        <w:t xml:space="preserve"> Členské státy MMF s největším % hlasovací síly</w:t>
      </w:r>
    </w:p>
    <w:tbl>
      <w:tblPr>
        <w:tblW w:w="9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0"/>
        <w:gridCol w:w="4117"/>
        <w:gridCol w:w="4118"/>
      </w:tblGrid>
      <w:tr w:rsidR="00DF128A" w:rsidRPr="00DF128A" w:rsidTr="00DF128A">
        <w:trPr>
          <w:trHeight w:val="255"/>
        </w:trPr>
        <w:tc>
          <w:tcPr>
            <w:tcW w:w="960" w:type="dxa"/>
            <w:shd w:val="clear" w:color="auto" w:fill="E6E6E6"/>
            <w:noWrap/>
            <w:tcMar>
              <w:top w:w="15" w:type="dxa"/>
              <w:left w:w="15" w:type="dxa"/>
              <w:bottom w:w="0" w:type="dxa"/>
              <w:right w:w="15" w:type="dxa"/>
            </w:tcMar>
            <w:vAlign w:val="bottom"/>
          </w:tcPr>
          <w:p w:rsidR="00DF128A" w:rsidRPr="00DF128A" w:rsidRDefault="00DF128A" w:rsidP="009E3EA6">
            <w:pPr>
              <w:widowControl w:val="0"/>
              <w:jc w:val="center"/>
              <w:rPr>
                <w:rFonts w:asciiTheme="majorHAnsi" w:hAnsiTheme="majorHAnsi" w:cs="Times New Roman"/>
                <w:b/>
                <w:bCs/>
                <w:sz w:val="20"/>
                <w:szCs w:val="20"/>
              </w:rPr>
            </w:pPr>
            <w:r w:rsidRPr="00DF128A">
              <w:rPr>
                <w:rFonts w:asciiTheme="majorHAnsi" w:hAnsiTheme="majorHAnsi" w:cs="Times New Roman"/>
                <w:b/>
                <w:bCs/>
                <w:sz w:val="20"/>
                <w:szCs w:val="20"/>
              </w:rPr>
              <w:t>Pořadí</w:t>
            </w:r>
          </w:p>
        </w:tc>
        <w:tc>
          <w:tcPr>
            <w:tcW w:w="4117" w:type="dxa"/>
            <w:shd w:val="clear" w:color="auto" w:fill="E6E6E6"/>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b/>
                <w:bCs/>
                <w:sz w:val="20"/>
                <w:szCs w:val="20"/>
              </w:rPr>
            </w:pPr>
            <w:r w:rsidRPr="00DF128A">
              <w:rPr>
                <w:rFonts w:asciiTheme="majorHAnsi" w:hAnsiTheme="majorHAnsi" w:cs="Times New Roman"/>
                <w:b/>
                <w:bCs/>
                <w:sz w:val="20"/>
                <w:szCs w:val="20"/>
              </w:rPr>
              <w:t>Stát</w:t>
            </w:r>
          </w:p>
        </w:tc>
        <w:tc>
          <w:tcPr>
            <w:tcW w:w="4118" w:type="dxa"/>
            <w:shd w:val="clear" w:color="auto" w:fill="E6E6E6"/>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b/>
                <w:bCs/>
                <w:sz w:val="20"/>
                <w:szCs w:val="20"/>
              </w:rPr>
            </w:pPr>
            <w:r w:rsidRPr="00DF128A">
              <w:rPr>
                <w:rFonts w:asciiTheme="majorHAnsi" w:hAnsiTheme="majorHAnsi" w:cs="Times New Roman"/>
                <w:b/>
                <w:bCs/>
                <w:sz w:val="20"/>
                <w:szCs w:val="20"/>
              </w:rPr>
              <w:t>Hlasovací síla [%]</w:t>
            </w:r>
          </w:p>
        </w:tc>
      </w:tr>
      <w:tr w:rsidR="00DF128A" w:rsidRPr="00DF128A" w:rsidTr="00DF128A">
        <w:trPr>
          <w:trHeight w:val="255"/>
        </w:trPr>
        <w:tc>
          <w:tcPr>
            <w:tcW w:w="960" w:type="dxa"/>
            <w:noWrap/>
            <w:tcMar>
              <w:top w:w="15" w:type="dxa"/>
              <w:left w:w="15" w:type="dxa"/>
              <w:bottom w:w="0" w:type="dxa"/>
              <w:right w:w="15" w:type="dxa"/>
            </w:tcMar>
            <w:vAlign w:val="bottom"/>
          </w:tcPr>
          <w:p w:rsidR="00DF128A" w:rsidRPr="00DF128A" w:rsidRDefault="00DF128A" w:rsidP="009E3EA6">
            <w:pPr>
              <w:widowControl w:val="0"/>
              <w:jc w:val="center"/>
              <w:rPr>
                <w:rFonts w:asciiTheme="majorHAnsi" w:hAnsiTheme="majorHAnsi" w:cs="Times New Roman"/>
                <w:sz w:val="20"/>
                <w:szCs w:val="20"/>
              </w:rPr>
            </w:pPr>
            <w:r w:rsidRPr="00DF128A">
              <w:rPr>
                <w:rFonts w:asciiTheme="majorHAnsi" w:hAnsiTheme="majorHAnsi" w:cs="Times New Roman"/>
                <w:sz w:val="20"/>
                <w:szCs w:val="20"/>
              </w:rPr>
              <w:t>1.</w:t>
            </w:r>
          </w:p>
        </w:tc>
        <w:tc>
          <w:tcPr>
            <w:tcW w:w="4117"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USA</w:t>
            </w:r>
          </w:p>
        </w:tc>
        <w:tc>
          <w:tcPr>
            <w:tcW w:w="4118"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16,74</w:t>
            </w:r>
          </w:p>
        </w:tc>
      </w:tr>
      <w:tr w:rsidR="00DF128A" w:rsidRPr="00DF128A" w:rsidTr="00DF128A">
        <w:trPr>
          <w:trHeight w:val="255"/>
        </w:trPr>
        <w:tc>
          <w:tcPr>
            <w:tcW w:w="960" w:type="dxa"/>
            <w:noWrap/>
            <w:tcMar>
              <w:top w:w="15" w:type="dxa"/>
              <w:left w:w="15" w:type="dxa"/>
              <w:bottom w:w="0" w:type="dxa"/>
              <w:right w:w="15" w:type="dxa"/>
            </w:tcMar>
            <w:vAlign w:val="bottom"/>
          </w:tcPr>
          <w:p w:rsidR="00DF128A" w:rsidRPr="00DF128A" w:rsidRDefault="00DF128A" w:rsidP="009E3EA6">
            <w:pPr>
              <w:widowControl w:val="0"/>
              <w:jc w:val="center"/>
              <w:rPr>
                <w:rFonts w:asciiTheme="majorHAnsi" w:hAnsiTheme="majorHAnsi" w:cs="Times New Roman"/>
                <w:sz w:val="20"/>
                <w:szCs w:val="20"/>
              </w:rPr>
            </w:pPr>
            <w:r w:rsidRPr="00DF128A">
              <w:rPr>
                <w:rFonts w:asciiTheme="majorHAnsi" w:hAnsiTheme="majorHAnsi" w:cs="Times New Roman"/>
                <w:sz w:val="20"/>
                <w:szCs w:val="20"/>
              </w:rPr>
              <w:t>2.</w:t>
            </w:r>
          </w:p>
        </w:tc>
        <w:tc>
          <w:tcPr>
            <w:tcW w:w="4117"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Japonsko</w:t>
            </w:r>
          </w:p>
        </w:tc>
        <w:tc>
          <w:tcPr>
            <w:tcW w:w="4118"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6,01</w:t>
            </w:r>
          </w:p>
        </w:tc>
      </w:tr>
      <w:tr w:rsidR="00DF128A" w:rsidRPr="00DF128A" w:rsidTr="00DF128A">
        <w:trPr>
          <w:trHeight w:val="255"/>
        </w:trPr>
        <w:tc>
          <w:tcPr>
            <w:tcW w:w="960" w:type="dxa"/>
            <w:noWrap/>
            <w:tcMar>
              <w:top w:w="15" w:type="dxa"/>
              <w:left w:w="15" w:type="dxa"/>
              <w:bottom w:w="0" w:type="dxa"/>
              <w:right w:w="15" w:type="dxa"/>
            </w:tcMar>
            <w:vAlign w:val="bottom"/>
          </w:tcPr>
          <w:p w:rsidR="00DF128A" w:rsidRPr="00DF128A" w:rsidRDefault="00DF128A" w:rsidP="009E3EA6">
            <w:pPr>
              <w:widowControl w:val="0"/>
              <w:jc w:val="center"/>
              <w:rPr>
                <w:rFonts w:asciiTheme="majorHAnsi" w:hAnsiTheme="majorHAnsi" w:cs="Times New Roman"/>
                <w:sz w:val="20"/>
                <w:szCs w:val="20"/>
              </w:rPr>
            </w:pPr>
            <w:r w:rsidRPr="00DF128A">
              <w:rPr>
                <w:rFonts w:asciiTheme="majorHAnsi" w:hAnsiTheme="majorHAnsi" w:cs="Times New Roman"/>
                <w:sz w:val="20"/>
                <w:szCs w:val="20"/>
              </w:rPr>
              <w:t>3.</w:t>
            </w:r>
          </w:p>
        </w:tc>
        <w:tc>
          <w:tcPr>
            <w:tcW w:w="4117"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Německo</w:t>
            </w:r>
          </w:p>
        </w:tc>
        <w:tc>
          <w:tcPr>
            <w:tcW w:w="4118"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5,87</w:t>
            </w:r>
          </w:p>
        </w:tc>
      </w:tr>
      <w:tr w:rsidR="00DF128A" w:rsidRPr="00DF128A" w:rsidTr="00DF128A">
        <w:trPr>
          <w:trHeight w:val="255"/>
        </w:trPr>
        <w:tc>
          <w:tcPr>
            <w:tcW w:w="960" w:type="dxa"/>
            <w:noWrap/>
            <w:tcMar>
              <w:top w:w="15" w:type="dxa"/>
              <w:left w:w="15" w:type="dxa"/>
              <w:bottom w:w="0" w:type="dxa"/>
              <w:right w:w="15" w:type="dxa"/>
            </w:tcMar>
            <w:vAlign w:val="bottom"/>
          </w:tcPr>
          <w:p w:rsidR="00DF128A" w:rsidRPr="00DF128A" w:rsidRDefault="00DF128A" w:rsidP="009E3EA6">
            <w:pPr>
              <w:widowControl w:val="0"/>
              <w:jc w:val="center"/>
              <w:rPr>
                <w:rFonts w:asciiTheme="majorHAnsi" w:hAnsiTheme="majorHAnsi" w:cs="Times New Roman"/>
                <w:sz w:val="20"/>
                <w:szCs w:val="20"/>
              </w:rPr>
            </w:pPr>
            <w:r w:rsidRPr="00DF128A">
              <w:rPr>
                <w:rFonts w:asciiTheme="majorHAnsi" w:hAnsiTheme="majorHAnsi" w:cs="Times New Roman"/>
                <w:sz w:val="20"/>
                <w:szCs w:val="20"/>
              </w:rPr>
              <w:t>4.</w:t>
            </w:r>
          </w:p>
        </w:tc>
        <w:tc>
          <w:tcPr>
            <w:tcW w:w="4117"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Francie</w:t>
            </w:r>
          </w:p>
        </w:tc>
        <w:tc>
          <w:tcPr>
            <w:tcW w:w="4118"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4,85</w:t>
            </w:r>
          </w:p>
        </w:tc>
      </w:tr>
      <w:tr w:rsidR="00DF128A" w:rsidRPr="00DF128A" w:rsidTr="00DF128A">
        <w:trPr>
          <w:trHeight w:val="255"/>
        </w:trPr>
        <w:tc>
          <w:tcPr>
            <w:tcW w:w="960" w:type="dxa"/>
            <w:noWrap/>
            <w:tcMar>
              <w:top w:w="15" w:type="dxa"/>
              <w:left w:w="15" w:type="dxa"/>
              <w:bottom w:w="0" w:type="dxa"/>
              <w:right w:w="15" w:type="dxa"/>
            </w:tcMar>
            <w:vAlign w:val="bottom"/>
          </w:tcPr>
          <w:p w:rsidR="00DF128A" w:rsidRPr="00DF128A" w:rsidRDefault="00DF128A" w:rsidP="009E3EA6">
            <w:pPr>
              <w:widowControl w:val="0"/>
              <w:jc w:val="center"/>
              <w:rPr>
                <w:rFonts w:asciiTheme="majorHAnsi" w:hAnsiTheme="majorHAnsi" w:cs="Times New Roman"/>
                <w:sz w:val="20"/>
                <w:szCs w:val="20"/>
              </w:rPr>
            </w:pPr>
            <w:r w:rsidRPr="00DF128A">
              <w:rPr>
                <w:rFonts w:asciiTheme="majorHAnsi" w:hAnsiTheme="majorHAnsi" w:cs="Times New Roman"/>
                <w:sz w:val="20"/>
                <w:szCs w:val="20"/>
              </w:rPr>
              <w:t>5.</w:t>
            </w:r>
          </w:p>
        </w:tc>
        <w:tc>
          <w:tcPr>
            <w:tcW w:w="4117"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VB</w:t>
            </w:r>
          </w:p>
        </w:tc>
        <w:tc>
          <w:tcPr>
            <w:tcW w:w="4118"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4,85</w:t>
            </w:r>
          </w:p>
        </w:tc>
      </w:tr>
      <w:tr w:rsidR="00DF128A" w:rsidRPr="00DF128A" w:rsidTr="00DF128A">
        <w:trPr>
          <w:trHeight w:val="255"/>
        </w:trPr>
        <w:tc>
          <w:tcPr>
            <w:tcW w:w="960" w:type="dxa"/>
            <w:noWrap/>
            <w:tcMar>
              <w:top w:w="15" w:type="dxa"/>
              <w:left w:w="15" w:type="dxa"/>
              <w:bottom w:w="0" w:type="dxa"/>
              <w:right w:w="15" w:type="dxa"/>
            </w:tcMar>
            <w:vAlign w:val="bottom"/>
          </w:tcPr>
          <w:p w:rsidR="00DF128A" w:rsidRPr="00DF128A" w:rsidRDefault="00DF128A" w:rsidP="009E3EA6">
            <w:pPr>
              <w:widowControl w:val="0"/>
              <w:jc w:val="center"/>
              <w:rPr>
                <w:rFonts w:asciiTheme="majorHAnsi" w:hAnsiTheme="majorHAnsi" w:cs="Times New Roman"/>
                <w:sz w:val="20"/>
                <w:szCs w:val="20"/>
              </w:rPr>
            </w:pPr>
            <w:r w:rsidRPr="00DF128A">
              <w:rPr>
                <w:rFonts w:asciiTheme="majorHAnsi" w:hAnsiTheme="majorHAnsi" w:cs="Times New Roman"/>
                <w:sz w:val="20"/>
                <w:szCs w:val="20"/>
              </w:rPr>
              <w:t>6.</w:t>
            </w:r>
          </w:p>
        </w:tc>
        <w:tc>
          <w:tcPr>
            <w:tcW w:w="4117"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Čína</w:t>
            </w:r>
          </w:p>
        </w:tc>
        <w:tc>
          <w:tcPr>
            <w:tcW w:w="4118"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3,65</w:t>
            </w:r>
          </w:p>
        </w:tc>
      </w:tr>
      <w:tr w:rsidR="00DF128A" w:rsidRPr="00DF128A" w:rsidTr="00DF128A">
        <w:trPr>
          <w:trHeight w:val="255"/>
        </w:trPr>
        <w:tc>
          <w:tcPr>
            <w:tcW w:w="960" w:type="dxa"/>
            <w:noWrap/>
            <w:tcMar>
              <w:top w:w="15" w:type="dxa"/>
              <w:left w:w="15" w:type="dxa"/>
              <w:bottom w:w="0" w:type="dxa"/>
              <w:right w:w="15" w:type="dxa"/>
            </w:tcMar>
            <w:vAlign w:val="bottom"/>
          </w:tcPr>
          <w:p w:rsidR="00DF128A" w:rsidRPr="00DF128A" w:rsidRDefault="00DF128A" w:rsidP="009E3EA6">
            <w:pPr>
              <w:widowControl w:val="0"/>
              <w:jc w:val="center"/>
              <w:rPr>
                <w:rFonts w:asciiTheme="majorHAnsi" w:hAnsiTheme="majorHAnsi" w:cs="Times New Roman"/>
                <w:sz w:val="20"/>
                <w:szCs w:val="20"/>
              </w:rPr>
            </w:pPr>
            <w:r w:rsidRPr="00DF128A">
              <w:rPr>
                <w:rFonts w:asciiTheme="majorHAnsi" w:hAnsiTheme="majorHAnsi" w:cs="Times New Roman"/>
                <w:sz w:val="20"/>
                <w:szCs w:val="20"/>
              </w:rPr>
              <w:lastRenderedPageBreak/>
              <w:t>7.</w:t>
            </w:r>
          </w:p>
        </w:tc>
        <w:tc>
          <w:tcPr>
            <w:tcW w:w="4117"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Itálie</w:t>
            </w:r>
          </w:p>
        </w:tc>
        <w:tc>
          <w:tcPr>
            <w:tcW w:w="4118"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3,19</w:t>
            </w:r>
          </w:p>
        </w:tc>
      </w:tr>
      <w:tr w:rsidR="00DF128A" w:rsidRPr="00DF128A" w:rsidTr="00DF128A">
        <w:trPr>
          <w:trHeight w:val="255"/>
        </w:trPr>
        <w:tc>
          <w:tcPr>
            <w:tcW w:w="960" w:type="dxa"/>
            <w:noWrap/>
            <w:tcMar>
              <w:top w:w="15" w:type="dxa"/>
              <w:left w:w="15" w:type="dxa"/>
              <w:bottom w:w="0" w:type="dxa"/>
              <w:right w:w="15" w:type="dxa"/>
            </w:tcMar>
            <w:vAlign w:val="bottom"/>
          </w:tcPr>
          <w:p w:rsidR="00DF128A" w:rsidRPr="00DF128A" w:rsidRDefault="00DF128A" w:rsidP="009E3EA6">
            <w:pPr>
              <w:widowControl w:val="0"/>
              <w:jc w:val="center"/>
              <w:rPr>
                <w:rFonts w:asciiTheme="majorHAnsi" w:hAnsiTheme="majorHAnsi" w:cs="Times New Roman"/>
                <w:sz w:val="20"/>
                <w:szCs w:val="20"/>
              </w:rPr>
            </w:pPr>
            <w:r w:rsidRPr="00DF128A">
              <w:rPr>
                <w:rFonts w:asciiTheme="majorHAnsi" w:hAnsiTheme="majorHAnsi" w:cs="Times New Roman"/>
                <w:sz w:val="20"/>
                <w:szCs w:val="20"/>
              </w:rPr>
              <w:t>8.</w:t>
            </w:r>
          </w:p>
        </w:tc>
        <w:tc>
          <w:tcPr>
            <w:tcW w:w="4117"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Saudská Arábie</w:t>
            </w:r>
          </w:p>
        </w:tc>
        <w:tc>
          <w:tcPr>
            <w:tcW w:w="4118"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3,16</w:t>
            </w:r>
          </w:p>
        </w:tc>
      </w:tr>
      <w:tr w:rsidR="00DF128A" w:rsidRPr="00DF128A" w:rsidTr="00DF128A">
        <w:trPr>
          <w:trHeight w:val="255"/>
        </w:trPr>
        <w:tc>
          <w:tcPr>
            <w:tcW w:w="960" w:type="dxa"/>
            <w:noWrap/>
            <w:tcMar>
              <w:top w:w="15" w:type="dxa"/>
              <w:left w:w="15" w:type="dxa"/>
              <w:bottom w:w="0" w:type="dxa"/>
              <w:right w:w="15" w:type="dxa"/>
            </w:tcMar>
            <w:vAlign w:val="bottom"/>
          </w:tcPr>
          <w:p w:rsidR="00DF128A" w:rsidRPr="00DF128A" w:rsidRDefault="00DF128A" w:rsidP="009E3EA6">
            <w:pPr>
              <w:widowControl w:val="0"/>
              <w:jc w:val="center"/>
              <w:rPr>
                <w:rFonts w:asciiTheme="majorHAnsi" w:hAnsiTheme="majorHAnsi" w:cs="Times New Roman"/>
                <w:sz w:val="20"/>
                <w:szCs w:val="20"/>
              </w:rPr>
            </w:pPr>
            <w:r w:rsidRPr="00DF128A">
              <w:rPr>
                <w:rFonts w:asciiTheme="majorHAnsi" w:hAnsiTheme="majorHAnsi" w:cs="Times New Roman"/>
                <w:sz w:val="20"/>
                <w:szCs w:val="20"/>
              </w:rPr>
              <w:t>9.</w:t>
            </w:r>
          </w:p>
        </w:tc>
        <w:tc>
          <w:tcPr>
            <w:tcW w:w="4117"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Kanada</w:t>
            </w:r>
          </w:p>
        </w:tc>
        <w:tc>
          <w:tcPr>
            <w:tcW w:w="4118"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2,88</w:t>
            </w:r>
          </w:p>
        </w:tc>
      </w:tr>
      <w:tr w:rsidR="00DF128A" w:rsidRPr="00DF128A" w:rsidTr="00DF128A">
        <w:trPr>
          <w:trHeight w:val="255"/>
        </w:trPr>
        <w:tc>
          <w:tcPr>
            <w:tcW w:w="960" w:type="dxa"/>
            <w:noWrap/>
            <w:tcMar>
              <w:top w:w="15" w:type="dxa"/>
              <w:left w:w="15" w:type="dxa"/>
              <w:bottom w:w="0" w:type="dxa"/>
              <w:right w:w="15" w:type="dxa"/>
            </w:tcMar>
            <w:vAlign w:val="bottom"/>
          </w:tcPr>
          <w:p w:rsidR="00DF128A" w:rsidRPr="00DF128A" w:rsidRDefault="00DF128A" w:rsidP="009E3EA6">
            <w:pPr>
              <w:widowControl w:val="0"/>
              <w:jc w:val="center"/>
              <w:rPr>
                <w:rFonts w:asciiTheme="majorHAnsi" w:hAnsiTheme="majorHAnsi" w:cs="Times New Roman"/>
                <w:sz w:val="20"/>
                <w:szCs w:val="20"/>
              </w:rPr>
            </w:pPr>
            <w:r w:rsidRPr="00DF128A">
              <w:rPr>
                <w:rFonts w:asciiTheme="majorHAnsi" w:hAnsiTheme="majorHAnsi" w:cs="Times New Roman"/>
                <w:sz w:val="20"/>
                <w:szCs w:val="20"/>
              </w:rPr>
              <w:t>1</w:t>
            </w:r>
            <w:r>
              <w:rPr>
                <w:rFonts w:asciiTheme="majorHAnsi" w:hAnsiTheme="majorHAnsi" w:cs="Times New Roman"/>
                <w:sz w:val="20"/>
                <w:szCs w:val="20"/>
              </w:rPr>
              <w:t>0</w:t>
            </w:r>
            <w:r w:rsidRPr="00DF128A">
              <w:rPr>
                <w:rFonts w:asciiTheme="majorHAnsi" w:hAnsiTheme="majorHAnsi" w:cs="Times New Roman"/>
                <w:sz w:val="20"/>
                <w:szCs w:val="20"/>
              </w:rPr>
              <w:t>.</w:t>
            </w:r>
          </w:p>
        </w:tc>
        <w:tc>
          <w:tcPr>
            <w:tcW w:w="4117"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Rusko</w:t>
            </w:r>
          </w:p>
        </w:tc>
        <w:tc>
          <w:tcPr>
            <w:tcW w:w="4118"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asciiTheme="majorHAnsi" w:hAnsiTheme="majorHAnsi" w:cs="Times New Roman"/>
                <w:sz w:val="20"/>
                <w:szCs w:val="20"/>
              </w:rPr>
            </w:pPr>
            <w:r w:rsidRPr="00DF128A">
              <w:rPr>
                <w:rFonts w:asciiTheme="majorHAnsi" w:hAnsiTheme="majorHAnsi" w:cs="Times New Roman"/>
                <w:sz w:val="20"/>
                <w:szCs w:val="20"/>
              </w:rPr>
              <w:t>2,69</w:t>
            </w:r>
          </w:p>
        </w:tc>
      </w:tr>
    </w:tbl>
    <w:p w:rsidR="00DF128A" w:rsidRPr="00DF128A" w:rsidRDefault="00DF128A" w:rsidP="009E3EA6">
      <w:pPr>
        <w:pStyle w:val="Titulek"/>
        <w:widowControl w:val="0"/>
        <w:rPr>
          <w:szCs w:val="20"/>
        </w:rPr>
      </w:pPr>
      <w:r w:rsidRPr="00DF128A">
        <w:rPr>
          <w:szCs w:val="20"/>
        </w:rPr>
        <w:t>Zdroj: IMF</w:t>
      </w:r>
      <w:r w:rsidR="009E3EA6">
        <w:rPr>
          <w:szCs w:val="20"/>
        </w:rPr>
        <w:t xml:space="preserve"> </w:t>
      </w:r>
      <w:r w:rsidRPr="00DF128A">
        <w:rPr>
          <w:szCs w:val="20"/>
        </w:rPr>
        <w:t>2010</w:t>
      </w:r>
    </w:p>
    <w:p w:rsidR="00DF128A" w:rsidRPr="00DF128A" w:rsidRDefault="00DF128A" w:rsidP="00DF128A">
      <w:pPr>
        <w:rPr>
          <w:lang w:eastAsia="cs-CZ"/>
        </w:rPr>
      </w:pPr>
    </w:p>
    <w:p w:rsidR="00DF128A" w:rsidRPr="00DF128A" w:rsidRDefault="00DF128A" w:rsidP="00DF128A">
      <w:pPr>
        <w:widowControl w:val="0"/>
        <w:spacing w:line="276" w:lineRule="auto"/>
        <w:ind w:firstLine="709"/>
        <w:jc w:val="both"/>
        <w:rPr>
          <w:rFonts w:ascii="Times New Roman" w:hAnsi="Times New Roman" w:cs="Times New Roman"/>
          <w:color w:val="000000"/>
          <w:sz w:val="24"/>
          <w:szCs w:val="24"/>
        </w:rPr>
      </w:pPr>
      <w:r w:rsidRPr="00DF128A">
        <w:rPr>
          <w:rFonts w:ascii="Times New Roman" w:hAnsi="Times New Roman" w:cs="Times New Roman"/>
          <w:sz w:val="24"/>
          <w:szCs w:val="24"/>
        </w:rPr>
        <w:t xml:space="preserve">Změny ve fungování a činnosti MMF se provádí formou hlasování. Méně závažná rozhodnutí MMF musí být podpořena prostou většinou hlasů. Ta závažnější jako např. stanovení výše poplatků za užívání peněz z rezerv MMF musí být odsouhlasena 70% hlasů. </w:t>
      </w:r>
      <w:r w:rsidRPr="00DF128A">
        <w:rPr>
          <w:rFonts w:ascii="Times New Roman" w:hAnsi="Times New Roman" w:cs="Times New Roman"/>
          <w:color w:val="000000"/>
          <w:sz w:val="24"/>
          <w:szCs w:val="24"/>
        </w:rPr>
        <w:t xml:space="preserve">Ke schválení hlavních rozhodnutí upravujících fungování a činnost MMF je zapotřebí minimálně 85% hlasů (viz tab. 2). Vzhledem k tomu, že USA měly od založení MMF hlasovací sílu vždy větší než 15%, </w:t>
      </w:r>
      <w:r w:rsidRPr="00DF128A">
        <w:rPr>
          <w:rFonts w:ascii="Times New Roman" w:hAnsi="Times New Roman" w:cs="Times New Roman"/>
          <w:sz w:val="24"/>
          <w:szCs w:val="24"/>
        </w:rPr>
        <w:t>jsou schopné vetovat každé rozhodnutí požadující 85% hlasů. Německo, Japonsko, Francie a Británie mají dalších 20 % hlasů (viz tab. 1). Země méně rozvinuté, které se často nachází v ekonomických nesnázích, a na které nejvíce dopadá politika MMF, disponují řádově setinami až tisícinami procent hlasovací síly. Členská kvóta pro Českou republiku byla stanovena na 819,3 mil. SDR, disponuje tedy 8443 hlasy, což je 0,38% hlasovací síly (IMF</w:t>
      </w:r>
      <w:r w:rsidR="009E3EA6">
        <w:rPr>
          <w:rFonts w:ascii="Times New Roman" w:hAnsi="Times New Roman" w:cs="Times New Roman"/>
          <w:sz w:val="24"/>
          <w:szCs w:val="24"/>
        </w:rPr>
        <w:t xml:space="preserve"> </w:t>
      </w:r>
      <w:r w:rsidRPr="00DF128A">
        <w:rPr>
          <w:rFonts w:ascii="Times New Roman" w:hAnsi="Times New Roman" w:cs="Times New Roman"/>
          <w:sz w:val="24"/>
          <w:szCs w:val="24"/>
        </w:rPr>
        <w:t>2010).</w:t>
      </w:r>
    </w:p>
    <w:p w:rsidR="00DF128A" w:rsidRPr="00DF128A" w:rsidRDefault="00DF128A" w:rsidP="00DF128A">
      <w:pPr>
        <w:widowControl w:val="0"/>
        <w:spacing w:line="276" w:lineRule="auto"/>
        <w:ind w:firstLine="709"/>
        <w:jc w:val="both"/>
        <w:rPr>
          <w:rFonts w:ascii="Times New Roman" w:hAnsi="Times New Roman" w:cs="Times New Roman"/>
          <w:color w:val="000000"/>
          <w:sz w:val="24"/>
          <w:szCs w:val="24"/>
        </w:rPr>
      </w:pPr>
    </w:p>
    <w:p w:rsidR="00DF128A" w:rsidRPr="00DF128A" w:rsidRDefault="00DF128A" w:rsidP="009E3EA6">
      <w:pPr>
        <w:widowControl w:val="0"/>
        <w:jc w:val="both"/>
        <w:rPr>
          <w:rFonts w:ascii="Times New Roman" w:hAnsi="Times New Roman" w:cs="Times New Roman"/>
          <w:color w:val="000000"/>
          <w:sz w:val="24"/>
          <w:szCs w:val="24"/>
        </w:rPr>
      </w:pPr>
      <w:r w:rsidRPr="00DF128A">
        <w:rPr>
          <w:rFonts w:ascii="Times New Roman" w:hAnsi="Times New Roman" w:cs="Times New Roman"/>
          <w:b/>
          <w:bCs/>
          <w:color w:val="000000"/>
          <w:sz w:val="24"/>
          <w:szCs w:val="24"/>
        </w:rPr>
        <w:t>Tab. 2</w:t>
      </w:r>
      <w:r w:rsidR="009E3EA6">
        <w:rPr>
          <w:rFonts w:ascii="Times New Roman" w:hAnsi="Times New Roman" w:cs="Times New Roman"/>
          <w:b/>
          <w:bCs/>
          <w:color w:val="000000"/>
          <w:sz w:val="24"/>
          <w:szCs w:val="24"/>
        </w:rPr>
        <w:t>:</w:t>
      </w:r>
      <w:r w:rsidRPr="00DF128A">
        <w:rPr>
          <w:rFonts w:ascii="Times New Roman" w:hAnsi="Times New Roman" w:cs="Times New Roman"/>
          <w:color w:val="000000"/>
          <w:sz w:val="24"/>
          <w:szCs w:val="24"/>
        </w:rPr>
        <w:t xml:space="preserve"> Vybraná rozhodnutí a potřebné % hlasů k jejich schválení</w:t>
      </w:r>
    </w:p>
    <w:tbl>
      <w:tblPr>
        <w:tblW w:w="9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675"/>
        <w:gridCol w:w="2520"/>
      </w:tblGrid>
      <w:tr w:rsidR="00DF128A" w:rsidRPr="00DF128A" w:rsidTr="00DF128A">
        <w:trPr>
          <w:trHeight w:val="255"/>
        </w:trPr>
        <w:tc>
          <w:tcPr>
            <w:tcW w:w="6675" w:type="dxa"/>
            <w:shd w:val="clear" w:color="auto" w:fill="E6E6E6"/>
            <w:noWrap/>
            <w:tcMar>
              <w:top w:w="15" w:type="dxa"/>
              <w:left w:w="15" w:type="dxa"/>
              <w:bottom w:w="0" w:type="dxa"/>
              <w:right w:w="15" w:type="dxa"/>
            </w:tcMar>
            <w:vAlign w:val="bottom"/>
          </w:tcPr>
          <w:p w:rsidR="00DF128A" w:rsidRPr="00DF128A" w:rsidRDefault="00DF128A" w:rsidP="009E3EA6">
            <w:pPr>
              <w:pStyle w:val="Nadpis4"/>
              <w:keepNext w:val="0"/>
              <w:widowControl w:val="0"/>
              <w:numPr>
                <w:ilvl w:val="0"/>
                <w:numId w:val="0"/>
              </w:numPr>
              <w:spacing w:before="0" w:after="0"/>
              <w:ind w:left="864" w:hanging="864"/>
              <w:jc w:val="center"/>
              <w:rPr>
                <w:rFonts w:asciiTheme="minorHAnsi" w:hAnsiTheme="minorHAnsi" w:cstheme="minorHAnsi"/>
                <w:sz w:val="20"/>
                <w:szCs w:val="20"/>
              </w:rPr>
            </w:pPr>
            <w:r w:rsidRPr="00DF128A">
              <w:rPr>
                <w:rFonts w:asciiTheme="minorHAnsi" w:hAnsiTheme="minorHAnsi" w:cstheme="minorHAnsi"/>
                <w:sz w:val="20"/>
                <w:szCs w:val="20"/>
              </w:rPr>
              <w:t>Rozhodnutí, která jsou v pravomoci Rady guvernérů</w:t>
            </w:r>
          </w:p>
        </w:tc>
        <w:tc>
          <w:tcPr>
            <w:tcW w:w="2520" w:type="dxa"/>
            <w:shd w:val="clear" w:color="auto" w:fill="E6E6E6"/>
            <w:noWrap/>
            <w:tcMar>
              <w:top w:w="15" w:type="dxa"/>
              <w:left w:w="15" w:type="dxa"/>
              <w:bottom w:w="0" w:type="dxa"/>
              <w:right w:w="15" w:type="dxa"/>
            </w:tcMar>
            <w:vAlign w:val="bottom"/>
          </w:tcPr>
          <w:p w:rsidR="00DF128A" w:rsidRPr="00DF128A" w:rsidRDefault="00DF128A" w:rsidP="009E3EA6">
            <w:pPr>
              <w:pStyle w:val="Nadpis4"/>
              <w:keepNext w:val="0"/>
              <w:widowControl w:val="0"/>
              <w:numPr>
                <w:ilvl w:val="0"/>
                <w:numId w:val="0"/>
              </w:numPr>
              <w:spacing w:before="0" w:after="0"/>
              <w:jc w:val="center"/>
              <w:rPr>
                <w:rFonts w:asciiTheme="minorHAnsi" w:hAnsiTheme="minorHAnsi" w:cstheme="minorHAnsi"/>
                <w:sz w:val="20"/>
                <w:szCs w:val="20"/>
              </w:rPr>
            </w:pPr>
            <w:r w:rsidRPr="00DF128A">
              <w:rPr>
                <w:rFonts w:asciiTheme="minorHAnsi" w:hAnsiTheme="minorHAnsi" w:cstheme="minorHAnsi"/>
                <w:sz w:val="20"/>
                <w:szCs w:val="20"/>
              </w:rPr>
              <w:t>Potřebné % hlasů</w:t>
            </w:r>
          </w:p>
        </w:tc>
      </w:tr>
      <w:tr w:rsidR="00DF128A" w:rsidRPr="00DF128A" w:rsidTr="00DF128A">
        <w:trPr>
          <w:trHeight w:val="255"/>
        </w:trPr>
        <w:tc>
          <w:tcPr>
            <w:tcW w:w="6675" w:type="dxa"/>
            <w:noWrap/>
            <w:tcMar>
              <w:top w:w="15" w:type="dxa"/>
              <w:left w:w="15" w:type="dxa"/>
              <w:bottom w:w="0" w:type="dxa"/>
              <w:right w:w="15" w:type="dxa"/>
            </w:tcMar>
            <w:vAlign w:val="bottom"/>
          </w:tcPr>
          <w:p w:rsidR="00DF128A" w:rsidRPr="00DF128A" w:rsidRDefault="00DF128A" w:rsidP="009E3EA6">
            <w:pPr>
              <w:widowControl w:val="0"/>
              <w:jc w:val="center"/>
              <w:rPr>
                <w:rFonts w:cstheme="minorHAnsi"/>
                <w:sz w:val="20"/>
                <w:szCs w:val="20"/>
              </w:rPr>
            </w:pPr>
            <w:r w:rsidRPr="00DF128A">
              <w:rPr>
                <w:rFonts w:cstheme="minorHAnsi"/>
                <w:sz w:val="20"/>
                <w:szCs w:val="20"/>
              </w:rPr>
              <w:t>Změna kvót</w:t>
            </w:r>
          </w:p>
        </w:tc>
        <w:tc>
          <w:tcPr>
            <w:tcW w:w="2520"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cstheme="minorHAnsi"/>
                <w:sz w:val="20"/>
                <w:szCs w:val="20"/>
              </w:rPr>
            </w:pPr>
            <w:r w:rsidRPr="00DF128A">
              <w:rPr>
                <w:rFonts w:cstheme="minorHAnsi"/>
                <w:sz w:val="20"/>
                <w:szCs w:val="20"/>
              </w:rPr>
              <w:t>70%</w:t>
            </w:r>
          </w:p>
        </w:tc>
      </w:tr>
      <w:tr w:rsidR="00DF128A" w:rsidRPr="00DF128A" w:rsidTr="00DF128A">
        <w:trPr>
          <w:trHeight w:val="255"/>
        </w:trPr>
        <w:tc>
          <w:tcPr>
            <w:tcW w:w="6675" w:type="dxa"/>
            <w:noWrap/>
            <w:tcMar>
              <w:top w:w="15" w:type="dxa"/>
              <w:left w:w="15" w:type="dxa"/>
              <w:bottom w:w="0" w:type="dxa"/>
              <w:right w:w="15" w:type="dxa"/>
            </w:tcMar>
            <w:vAlign w:val="bottom"/>
          </w:tcPr>
          <w:p w:rsidR="00DF128A" w:rsidRPr="00DF128A" w:rsidRDefault="00DF128A" w:rsidP="009E3EA6">
            <w:pPr>
              <w:widowControl w:val="0"/>
              <w:jc w:val="center"/>
              <w:rPr>
                <w:rFonts w:cstheme="minorHAnsi"/>
                <w:sz w:val="20"/>
                <w:szCs w:val="20"/>
              </w:rPr>
            </w:pPr>
            <w:r w:rsidRPr="00DF128A">
              <w:rPr>
                <w:rFonts w:cstheme="minorHAnsi"/>
                <w:sz w:val="20"/>
                <w:szCs w:val="20"/>
              </w:rPr>
              <w:t>Zvýšení nebo snížení počtu výkonných ředitelů</w:t>
            </w:r>
          </w:p>
        </w:tc>
        <w:tc>
          <w:tcPr>
            <w:tcW w:w="2520"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cstheme="minorHAnsi"/>
                <w:sz w:val="20"/>
                <w:szCs w:val="20"/>
              </w:rPr>
            </w:pPr>
            <w:r w:rsidRPr="00DF128A">
              <w:rPr>
                <w:rFonts w:cstheme="minorHAnsi"/>
                <w:sz w:val="20"/>
                <w:szCs w:val="20"/>
              </w:rPr>
              <w:t>85%</w:t>
            </w:r>
          </w:p>
        </w:tc>
      </w:tr>
      <w:tr w:rsidR="00DF128A" w:rsidRPr="00DF128A" w:rsidTr="00DF128A">
        <w:trPr>
          <w:trHeight w:val="255"/>
        </w:trPr>
        <w:tc>
          <w:tcPr>
            <w:tcW w:w="6675" w:type="dxa"/>
            <w:noWrap/>
            <w:tcMar>
              <w:top w:w="15" w:type="dxa"/>
              <w:left w:w="15" w:type="dxa"/>
              <w:bottom w:w="0" w:type="dxa"/>
              <w:right w:w="15" w:type="dxa"/>
            </w:tcMar>
            <w:vAlign w:val="bottom"/>
          </w:tcPr>
          <w:p w:rsidR="00DF128A" w:rsidRPr="00DF128A" w:rsidRDefault="00DF128A" w:rsidP="009E3EA6">
            <w:pPr>
              <w:widowControl w:val="0"/>
              <w:jc w:val="center"/>
              <w:rPr>
                <w:rFonts w:cstheme="minorHAnsi"/>
                <w:sz w:val="20"/>
                <w:szCs w:val="20"/>
              </w:rPr>
            </w:pPr>
            <w:r w:rsidRPr="00DF128A">
              <w:rPr>
                <w:rFonts w:cstheme="minorHAnsi"/>
                <w:sz w:val="20"/>
                <w:szCs w:val="20"/>
              </w:rPr>
              <w:t>Alokace SDR</w:t>
            </w:r>
          </w:p>
        </w:tc>
        <w:tc>
          <w:tcPr>
            <w:tcW w:w="2520"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cstheme="minorHAnsi"/>
                <w:sz w:val="20"/>
                <w:szCs w:val="20"/>
              </w:rPr>
            </w:pPr>
            <w:r w:rsidRPr="00DF128A">
              <w:rPr>
                <w:rFonts w:cstheme="minorHAnsi"/>
                <w:sz w:val="20"/>
                <w:szCs w:val="20"/>
              </w:rPr>
              <w:t>85%</w:t>
            </w:r>
          </w:p>
        </w:tc>
      </w:tr>
      <w:tr w:rsidR="00DF128A" w:rsidRPr="00DF128A" w:rsidTr="00DF128A">
        <w:trPr>
          <w:trHeight w:val="255"/>
        </w:trPr>
        <w:tc>
          <w:tcPr>
            <w:tcW w:w="6675" w:type="dxa"/>
            <w:tcBorders>
              <w:bottom w:val="single" w:sz="4" w:space="0" w:color="auto"/>
            </w:tcBorders>
            <w:noWrap/>
            <w:tcMar>
              <w:top w:w="15" w:type="dxa"/>
              <w:left w:w="15" w:type="dxa"/>
              <w:bottom w:w="0" w:type="dxa"/>
              <w:right w:w="15" w:type="dxa"/>
            </w:tcMar>
            <w:vAlign w:val="bottom"/>
          </w:tcPr>
          <w:p w:rsidR="00DF128A" w:rsidRPr="00DF128A" w:rsidRDefault="00DF128A" w:rsidP="009E3EA6">
            <w:pPr>
              <w:widowControl w:val="0"/>
              <w:jc w:val="center"/>
              <w:rPr>
                <w:rFonts w:cstheme="minorHAnsi"/>
                <w:sz w:val="20"/>
                <w:szCs w:val="20"/>
              </w:rPr>
            </w:pPr>
            <w:r w:rsidRPr="00DF128A">
              <w:rPr>
                <w:rFonts w:cstheme="minorHAnsi"/>
                <w:sz w:val="20"/>
                <w:szCs w:val="20"/>
              </w:rPr>
              <w:t>Přijímání nových členů a vyloučení státu z MMF</w:t>
            </w:r>
          </w:p>
        </w:tc>
        <w:tc>
          <w:tcPr>
            <w:tcW w:w="2520" w:type="dxa"/>
            <w:tcBorders>
              <w:bottom w:val="single" w:sz="4" w:space="0" w:color="auto"/>
            </w:tcBorders>
            <w:noWrap/>
            <w:tcMar>
              <w:top w:w="15" w:type="dxa"/>
              <w:left w:w="15" w:type="dxa"/>
              <w:bottom w:w="0" w:type="dxa"/>
              <w:right w:w="15" w:type="dxa"/>
            </w:tcMar>
            <w:vAlign w:val="bottom"/>
          </w:tcPr>
          <w:p w:rsidR="00DF128A" w:rsidRPr="00DF128A" w:rsidRDefault="00DF128A" w:rsidP="009E3EA6">
            <w:pPr>
              <w:widowControl w:val="0"/>
              <w:ind w:firstLine="709"/>
              <w:jc w:val="center"/>
              <w:rPr>
                <w:rFonts w:cstheme="minorHAnsi"/>
                <w:sz w:val="20"/>
                <w:szCs w:val="20"/>
              </w:rPr>
            </w:pPr>
            <w:r w:rsidRPr="00DF128A">
              <w:rPr>
                <w:rFonts w:cstheme="minorHAnsi"/>
                <w:sz w:val="20"/>
                <w:szCs w:val="20"/>
              </w:rPr>
              <w:t>85%</w:t>
            </w:r>
          </w:p>
        </w:tc>
      </w:tr>
      <w:tr w:rsidR="00DF128A" w:rsidRPr="00DF128A" w:rsidTr="00DF128A">
        <w:trPr>
          <w:trHeight w:val="255"/>
        </w:trPr>
        <w:tc>
          <w:tcPr>
            <w:tcW w:w="6675" w:type="dxa"/>
            <w:shd w:val="clear" w:color="auto" w:fill="E6E6E6"/>
            <w:noWrap/>
            <w:tcMar>
              <w:top w:w="15" w:type="dxa"/>
              <w:left w:w="15" w:type="dxa"/>
              <w:bottom w:w="0" w:type="dxa"/>
              <w:right w:w="15" w:type="dxa"/>
            </w:tcMar>
            <w:vAlign w:val="bottom"/>
          </w:tcPr>
          <w:p w:rsidR="00DF128A" w:rsidRPr="00DF128A" w:rsidRDefault="00DF128A" w:rsidP="009E3EA6">
            <w:pPr>
              <w:pStyle w:val="Nadpis4"/>
              <w:keepNext w:val="0"/>
              <w:widowControl w:val="0"/>
              <w:numPr>
                <w:ilvl w:val="0"/>
                <w:numId w:val="0"/>
              </w:numPr>
              <w:spacing w:before="0" w:after="0"/>
              <w:ind w:left="864" w:hanging="864"/>
              <w:jc w:val="center"/>
              <w:rPr>
                <w:rFonts w:asciiTheme="minorHAnsi" w:hAnsiTheme="minorHAnsi" w:cstheme="minorHAnsi"/>
                <w:sz w:val="20"/>
                <w:szCs w:val="20"/>
              </w:rPr>
            </w:pPr>
            <w:r w:rsidRPr="00DF128A">
              <w:rPr>
                <w:rFonts w:asciiTheme="minorHAnsi" w:hAnsiTheme="minorHAnsi" w:cstheme="minorHAnsi"/>
                <w:sz w:val="20"/>
                <w:szCs w:val="20"/>
              </w:rPr>
              <w:t>Rozhodnutí, která jsou v pravomoci Rady výkonných ředitelů</w:t>
            </w:r>
          </w:p>
        </w:tc>
        <w:tc>
          <w:tcPr>
            <w:tcW w:w="2520" w:type="dxa"/>
            <w:shd w:val="clear" w:color="auto" w:fill="E6E6E6"/>
            <w:noWrap/>
            <w:tcMar>
              <w:top w:w="15" w:type="dxa"/>
              <w:left w:w="15" w:type="dxa"/>
              <w:bottom w:w="0" w:type="dxa"/>
              <w:right w:w="15" w:type="dxa"/>
            </w:tcMar>
            <w:vAlign w:val="bottom"/>
          </w:tcPr>
          <w:p w:rsidR="00DF128A" w:rsidRPr="00DF128A" w:rsidRDefault="00DF128A" w:rsidP="009E3EA6">
            <w:pPr>
              <w:widowControl w:val="0"/>
              <w:jc w:val="center"/>
              <w:rPr>
                <w:rFonts w:cstheme="minorHAnsi"/>
                <w:b/>
                <w:bCs/>
                <w:sz w:val="20"/>
                <w:szCs w:val="20"/>
              </w:rPr>
            </w:pPr>
            <w:r w:rsidRPr="00DF128A">
              <w:rPr>
                <w:rFonts w:cstheme="minorHAnsi"/>
                <w:b/>
                <w:bCs/>
                <w:sz w:val="20"/>
                <w:szCs w:val="20"/>
              </w:rPr>
              <w:t>Potřebné % hlasů</w:t>
            </w:r>
          </w:p>
        </w:tc>
      </w:tr>
      <w:tr w:rsidR="00DF128A" w:rsidRPr="00DF128A" w:rsidTr="00DF128A">
        <w:trPr>
          <w:trHeight w:val="255"/>
        </w:trPr>
        <w:tc>
          <w:tcPr>
            <w:tcW w:w="6675" w:type="dxa"/>
            <w:noWrap/>
            <w:tcMar>
              <w:top w:w="15" w:type="dxa"/>
              <w:left w:w="15" w:type="dxa"/>
              <w:bottom w:w="0" w:type="dxa"/>
              <w:right w:w="15" w:type="dxa"/>
            </w:tcMar>
            <w:vAlign w:val="bottom"/>
          </w:tcPr>
          <w:p w:rsidR="00DF128A" w:rsidRPr="00DF128A" w:rsidRDefault="00DF128A" w:rsidP="009E3EA6">
            <w:pPr>
              <w:widowControl w:val="0"/>
              <w:jc w:val="center"/>
              <w:rPr>
                <w:rFonts w:cstheme="minorHAnsi"/>
                <w:sz w:val="20"/>
                <w:szCs w:val="20"/>
              </w:rPr>
            </w:pPr>
            <w:r w:rsidRPr="00DF128A">
              <w:rPr>
                <w:rFonts w:cstheme="minorHAnsi"/>
                <w:sz w:val="20"/>
                <w:szCs w:val="20"/>
              </w:rPr>
              <w:t>Změna lhůt splatnosti úvěrů</w:t>
            </w:r>
          </w:p>
        </w:tc>
        <w:tc>
          <w:tcPr>
            <w:tcW w:w="2520"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cstheme="minorHAnsi"/>
                <w:sz w:val="20"/>
                <w:szCs w:val="20"/>
              </w:rPr>
            </w:pPr>
            <w:r w:rsidRPr="00DF128A">
              <w:rPr>
                <w:rFonts w:cstheme="minorHAnsi"/>
                <w:sz w:val="20"/>
                <w:szCs w:val="20"/>
              </w:rPr>
              <w:t>85%</w:t>
            </w:r>
          </w:p>
        </w:tc>
      </w:tr>
      <w:tr w:rsidR="00DF128A" w:rsidRPr="00DF128A" w:rsidTr="00DF128A">
        <w:trPr>
          <w:trHeight w:val="255"/>
        </w:trPr>
        <w:tc>
          <w:tcPr>
            <w:tcW w:w="6675" w:type="dxa"/>
            <w:noWrap/>
            <w:tcMar>
              <w:top w:w="15" w:type="dxa"/>
              <w:left w:w="15" w:type="dxa"/>
              <w:bottom w:w="0" w:type="dxa"/>
              <w:right w:w="15" w:type="dxa"/>
            </w:tcMar>
            <w:vAlign w:val="bottom"/>
          </w:tcPr>
          <w:p w:rsidR="00DF128A" w:rsidRPr="00DF128A" w:rsidRDefault="00DF128A" w:rsidP="009E3EA6">
            <w:pPr>
              <w:widowControl w:val="0"/>
              <w:jc w:val="center"/>
              <w:rPr>
                <w:rFonts w:cstheme="minorHAnsi"/>
                <w:sz w:val="20"/>
                <w:szCs w:val="20"/>
              </w:rPr>
            </w:pPr>
            <w:r w:rsidRPr="00DF128A">
              <w:rPr>
                <w:rFonts w:cstheme="minorHAnsi"/>
                <w:sz w:val="20"/>
                <w:szCs w:val="20"/>
              </w:rPr>
              <w:t>Zavedení speciálního systému úvěrování</w:t>
            </w:r>
          </w:p>
        </w:tc>
        <w:tc>
          <w:tcPr>
            <w:tcW w:w="2520"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cstheme="minorHAnsi"/>
                <w:sz w:val="20"/>
                <w:szCs w:val="20"/>
              </w:rPr>
            </w:pPr>
            <w:r w:rsidRPr="00DF128A">
              <w:rPr>
                <w:rFonts w:cstheme="minorHAnsi"/>
                <w:sz w:val="20"/>
                <w:szCs w:val="20"/>
              </w:rPr>
              <w:t>85%</w:t>
            </w:r>
          </w:p>
        </w:tc>
      </w:tr>
      <w:tr w:rsidR="00DF128A" w:rsidRPr="00DF128A" w:rsidTr="00DF128A">
        <w:trPr>
          <w:trHeight w:val="255"/>
        </w:trPr>
        <w:tc>
          <w:tcPr>
            <w:tcW w:w="6675" w:type="dxa"/>
            <w:noWrap/>
            <w:tcMar>
              <w:top w:w="15" w:type="dxa"/>
              <w:left w:w="15" w:type="dxa"/>
              <w:bottom w:w="0" w:type="dxa"/>
              <w:right w:w="15" w:type="dxa"/>
            </w:tcMar>
            <w:vAlign w:val="bottom"/>
          </w:tcPr>
          <w:p w:rsidR="00DF128A" w:rsidRPr="00DF128A" w:rsidRDefault="00DF128A" w:rsidP="009E3EA6">
            <w:pPr>
              <w:widowControl w:val="0"/>
              <w:jc w:val="center"/>
              <w:rPr>
                <w:rFonts w:cstheme="minorHAnsi"/>
                <w:sz w:val="20"/>
                <w:szCs w:val="20"/>
              </w:rPr>
            </w:pPr>
            <w:r w:rsidRPr="00DF128A">
              <w:rPr>
                <w:rFonts w:cstheme="minorHAnsi"/>
                <w:sz w:val="20"/>
                <w:szCs w:val="20"/>
              </w:rPr>
              <w:t>Odložení termínu pro zpětný prodej čerpacích prostředků</w:t>
            </w:r>
          </w:p>
        </w:tc>
        <w:tc>
          <w:tcPr>
            <w:tcW w:w="2520"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cstheme="minorHAnsi"/>
                <w:sz w:val="20"/>
                <w:szCs w:val="20"/>
              </w:rPr>
            </w:pPr>
            <w:r w:rsidRPr="00DF128A">
              <w:rPr>
                <w:rFonts w:cstheme="minorHAnsi"/>
                <w:sz w:val="20"/>
                <w:szCs w:val="20"/>
              </w:rPr>
              <w:t>70%</w:t>
            </w:r>
          </w:p>
        </w:tc>
      </w:tr>
      <w:tr w:rsidR="00DF128A" w:rsidRPr="00DF128A" w:rsidTr="00DF128A">
        <w:trPr>
          <w:trHeight w:val="255"/>
        </w:trPr>
        <w:tc>
          <w:tcPr>
            <w:tcW w:w="6675" w:type="dxa"/>
            <w:noWrap/>
            <w:tcMar>
              <w:top w:w="15" w:type="dxa"/>
              <w:left w:w="15" w:type="dxa"/>
              <w:bottom w:w="0" w:type="dxa"/>
              <w:right w:w="15" w:type="dxa"/>
            </w:tcMar>
            <w:vAlign w:val="bottom"/>
          </w:tcPr>
          <w:p w:rsidR="00DF128A" w:rsidRPr="00DF128A" w:rsidRDefault="00DF128A" w:rsidP="009E3EA6">
            <w:pPr>
              <w:widowControl w:val="0"/>
              <w:jc w:val="center"/>
              <w:rPr>
                <w:rFonts w:cstheme="minorHAnsi"/>
                <w:sz w:val="20"/>
                <w:szCs w:val="20"/>
              </w:rPr>
            </w:pPr>
            <w:r w:rsidRPr="00DF128A">
              <w:rPr>
                <w:rFonts w:cstheme="minorHAnsi"/>
                <w:sz w:val="20"/>
                <w:szCs w:val="20"/>
              </w:rPr>
              <w:t>Stanovení výše poplatků z čerpacích zdrojů</w:t>
            </w:r>
          </w:p>
        </w:tc>
        <w:tc>
          <w:tcPr>
            <w:tcW w:w="2520"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cstheme="minorHAnsi"/>
                <w:sz w:val="20"/>
                <w:szCs w:val="20"/>
              </w:rPr>
            </w:pPr>
            <w:r w:rsidRPr="00DF128A">
              <w:rPr>
                <w:rFonts w:cstheme="minorHAnsi"/>
                <w:sz w:val="20"/>
                <w:szCs w:val="20"/>
              </w:rPr>
              <w:t>70%</w:t>
            </w:r>
          </w:p>
        </w:tc>
      </w:tr>
      <w:tr w:rsidR="00DF128A" w:rsidRPr="00DF128A" w:rsidTr="00DF128A">
        <w:trPr>
          <w:trHeight w:val="255"/>
        </w:trPr>
        <w:tc>
          <w:tcPr>
            <w:tcW w:w="6675" w:type="dxa"/>
            <w:noWrap/>
            <w:tcMar>
              <w:top w:w="15" w:type="dxa"/>
              <w:left w:w="15" w:type="dxa"/>
              <w:bottom w:w="0" w:type="dxa"/>
              <w:right w:w="15" w:type="dxa"/>
            </w:tcMar>
            <w:vAlign w:val="bottom"/>
          </w:tcPr>
          <w:p w:rsidR="00DF128A" w:rsidRPr="00DF128A" w:rsidRDefault="00DF128A" w:rsidP="009E3EA6">
            <w:pPr>
              <w:widowControl w:val="0"/>
              <w:jc w:val="center"/>
              <w:rPr>
                <w:rFonts w:cstheme="minorHAnsi"/>
                <w:sz w:val="20"/>
                <w:szCs w:val="20"/>
              </w:rPr>
            </w:pPr>
            <w:r w:rsidRPr="00DF128A">
              <w:rPr>
                <w:rFonts w:cstheme="minorHAnsi"/>
                <w:sz w:val="20"/>
                <w:szCs w:val="20"/>
              </w:rPr>
              <w:t>Stanovení sankčních poplatků při nedodržení termínu splatnosti</w:t>
            </w:r>
          </w:p>
        </w:tc>
        <w:tc>
          <w:tcPr>
            <w:tcW w:w="2520"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cstheme="minorHAnsi"/>
                <w:sz w:val="20"/>
                <w:szCs w:val="20"/>
              </w:rPr>
            </w:pPr>
            <w:r w:rsidRPr="00DF128A">
              <w:rPr>
                <w:rFonts w:cstheme="minorHAnsi"/>
                <w:sz w:val="20"/>
                <w:szCs w:val="20"/>
              </w:rPr>
              <w:t>70%</w:t>
            </w:r>
          </w:p>
        </w:tc>
      </w:tr>
      <w:tr w:rsidR="00DF128A" w:rsidRPr="00DF128A" w:rsidTr="00DF128A">
        <w:trPr>
          <w:trHeight w:val="255"/>
        </w:trPr>
        <w:tc>
          <w:tcPr>
            <w:tcW w:w="6675" w:type="dxa"/>
            <w:noWrap/>
            <w:tcMar>
              <w:top w:w="15" w:type="dxa"/>
              <w:left w:w="15" w:type="dxa"/>
              <w:bottom w:w="0" w:type="dxa"/>
              <w:right w:w="15" w:type="dxa"/>
            </w:tcMar>
            <w:vAlign w:val="bottom"/>
          </w:tcPr>
          <w:p w:rsidR="00DF128A" w:rsidRPr="00DF128A" w:rsidRDefault="00DF128A" w:rsidP="009E3EA6">
            <w:pPr>
              <w:widowControl w:val="0"/>
              <w:jc w:val="center"/>
              <w:rPr>
                <w:rFonts w:cstheme="minorHAnsi"/>
                <w:sz w:val="20"/>
                <w:szCs w:val="20"/>
              </w:rPr>
            </w:pPr>
            <w:r w:rsidRPr="00DF128A">
              <w:rPr>
                <w:rFonts w:cstheme="minorHAnsi"/>
                <w:sz w:val="20"/>
                <w:szCs w:val="20"/>
              </w:rPr>
              <w:t>Prodej zlata</w:t>
            </w:r>
          </w:p>
        </w:tc>
        <w:tc>
          <w:tcPr>
            <w:tcW w:w="2520"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cstheme="minorHAnsi"/>
                <w:sz w:val="20"/>
                <w:szCs w:val="20"/>
              </w:rPr>
            </w:pPr>
            <w:r w:rsidRPr="00DF128A">
              <w:rPr>
                <w:rFonts w:cstheme="minorHAnsi"/>
                <w:sz w:val="20"/>
                <w:szCs w:val="20"/>
              </w:rPr>
              <w:t>85%</w:t>
            </w:r>
          </w:p>
        </w:tc>
      </w:tr>
      <w:tr w:rsidR="00DF128A" w:rsidRPr="00DF128A" w:rsidTr="00DF128A">
        <w:trPr>
          <w:trHeight w:val="255"/>
        </w:trPr>
        <w:tc>
          <w:tcPr>
            <w:tcW w:w="6675" w:type="dxa"/>
            <w:noWrap/>
            <w:tcMar>
              <w:top w:w="15" w:type="dxa"/>
              <w:left w:w="15" w:type="dxa"/>
              <w:bottom w:w="0" w:type="dxa"/>
              <w:right w:w="15" w:type="dxa"/>
            </w:tcMar>
            <w:vAlign w:val="bottom"/>
          </w:tcPr>
          <w:p w:rsidR="00DF128A" w:rsidRPr="00DF128A" w:rsidRDefault="00DF128A" w:rsidP="009E3EA6">
            <w:pPr>
              <w:widowControl w:val="0"/>
              <w:jc w:val="center"/>
              <w:rPr>
                <w:rFonts w:cstheme="minorHAnsi"/>
                <w:sz w:val="20"/>
                <w:szCs w:val="20"/>
              </w:rPr>
            </w:pPr>
            <w:r w:rsidRPr="00DF128A">
              <w:rPr>
                <w:rFonts w:cstheme="minorHAnsi"/>
                <w:sz w:val="20"/>
                <w:szCs w:val="20"/>
              </w:rPr>
              <w:t>Převod výnosů z prodeje zlata na investiční účet</w:t>
            </w:r>
          </w:p>
        </w:tc>
        <w:tc>
          <w:tcPr>
            <w:tcW w:w="2520"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cstheme="minorHAnsi"/>
                <w:sz w:val="20"/>
                <w:szCs w:val="20"/>
              </w:rPr>
            </w:pPr>
            <w:r w:rsidRPr="00DF128A">
              <w:rPr>
                <w:rFonts w:cstheme="minorHAnsi"/>
                <w:sz w:val="20"/>
                <w:szCs w:val="20"/>
              </w:rPr>
              <w:t>85%</w:t>
            </w:r>
          </w:p>
        </w:tc>
      </w:tr>
      <w:tr w:rsidR="00DF128A" w:rsidRPr="00DF128A" w:rsidTr="00DF128A">
        <w:trPr>
          <w:trHeight w:val="255"/>
        </w:trPr>
        <w:tc>
          <w:tcPr>
            <w:tcW w:w="6675" w:type="dxa"/>
            <w:noWrap/>
            <w:tcMar>
              <w:top w:w="15" w:type="dxa"/>
              <w:left w:w="15" w:type="dxa"/>
              <w:bottom w:w="0" w:type="dxa"/>
              <w:right w:w="15" w:type="dxa"/>
            </w:tcMar>
            <w:vAlign w:val="bottom"/>
          </w:tcPr>
          <w:p w:rsidR="00DF128A" w:rsidRPr="00DF128A" w:rsidRDefault="00DF128A" w:rsidP="009E3EA6">
            <w:pPr>
              <w:widowControl w:val="0"/>
              <w:jc w:val="center"/>
              <w:rPr>
                <w:rFonts w:cstheme="minorHAnsi"/>
                <w:sz w:val="20"/>
                <w:szCs w:val="20"/>
              </w:rPr>
            </w:pPr>
            <w:r w:rsidRPr="00DF128A">
              <w:rPr>
                <w:rFonts w:cstheme="minorHAnsi"/>
                <w:sz w:val="20"/>
                <w:szCs w:val="20"/>
              </w:rPr>
              <w:t>Publikace údajů o finančně ekonomické situaci země</w:t>
            </w:r>
          </w:p>
        </w:tc>
        <w:tc>
          <w:tcPr>
            <w:tcW w:w="2520"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cstheme="minorHAnsi"/>
                <w:sz w:val="20"/>
                <w:szCs w:val="20"/>
              </w:rPr>
            </w:pPr>
            <w:r w:rsidRPr="00DF128A">
              <w:rPr>
                <w:rFonts w:cstheme="minorHAnsi"/>
                <w:sz w:val="20"/>
                <w:szCs w:val="20"/>
              </w:rPr>
              <w:t>70%</w:t>
            </w:r>
          </w:p>
        </w:tc>
      </w:tr>
      <w:tr w:rsidR="00DF128A" w:rsidRPr="00DF128A" w:rsidTr="00DF128A">
        <w:trPr>
          <w:trHeight w:val="255"/>
        </w:trPr>
        <w:tc>
          <w:tcPr>
            <w:tcW w:w="6675" w:type="dxa"/>
            <w:noWrap/>
            <w:tcMar>
              <w:top w:w="15" w:type="dxa"/>
              <w:left w:w="15" w:type="dxa"/>
              <w:bottom w:w="0" w:type="dxa"/>
              <w:right w:w="15" w:type="dxa"/>
            </w:tcMar>
            <w:vAlign w:val="bottom"/>
          </w:tcPr>
          <w:p w:rsidR="00DF128A" w:rsidRPr="00DF128A" w:rsidRDefault="00DF128A" w:rsidP="009E3EA6">
            <w:pPr>
              <w:widowControl w:val="0"/>
              <w:jc w:val="center"/>
              <w:rPr>
                <w:rFonts w:cstheme="minorHAnsi"/>
                <w:sz w:val="20"/>
                <w:szCs w:val="20"/>
              </w:rPr>
            </w:pPr>
            <w:r w:rsidRPr="00DF128A">
              <w:rPr>
                <w:rFonts w:cstheme="minorHAnsi"/>
                <w:sz w:val="20"/>
                <w:szCs w:val="20"/>
              </w:rPr>
              <w:t>Určení země odkupující SDR</w:t>
            </w:r>
          </w:p>
        </w:tc>
        <w:tc>
          <w:tcPr>
            <w:tcW w:w="2520"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cstheme="minorHAnsi"/>
                <w:sz w:val="20"/>
                <w:szCs w:val="20"/>
              </w:rPr>
            </w:pPr>
            <w:r w:rsidRPr="00DF128A">
              <w:rPr>
                <w:rFonts w:cstheme="minorHAnsi"/>
                <w:sz w:val="20"/>
                <w:szCs w:val="20"/>
              </w:rPr>
              <w:t>85%</w:t>
            </w:r>
          </w:p>
        </w:tc>
      </w:tr>
      <w:tr w:rsidR="00DF128A" w:rsidRPr="00DF128A" w:rsidTr="00DF128A">
        <w:trPr>
          <w:trHeight w:val="255"/>
        </w:trPr>
        <w:tc>
          <w:tcPr>
            <w:tcW w:w="6675" w:type="dxa"/>
            <w:noWrap/>
            <w:tcMar>
              <w:top w:w="15" w:type="dxa"/>
              <w:left w:w="15" w:type="dxa"/>
              <w:bottom w:w="0" w:type="dxa"/>
              <w:right w:w="15" w:type="dxa"/>
            </w:tcMar>
            <w:vAlign w:val="bottom"/>
          </w:tcPr>
          <w:p w:rsidR="00DF128A" w:rsidRPr="00DF128A" w:rsidRDefault="00DF128A" w:rsidP="009E3EA6">
            <w:pPr>
              <w:widowControl w:val="0"/>
              <w:jc w:val="center"/>
              <w:rPr>
                <w:rFonts w:cstheme="minorHAnsi"/>
                <w:sz w:val="20"/>
                <w:szCs w:val="20"/>
              </w:rPr>
            </w:pPr>
            <w:r w:rsidRPr="00DF128A">
              <w:rPr>
                <w:rFonts w:cstheme="minorHAnsi"/>
                <w:sz w:val="20"/>
                <w:szCs w:val="20"/>
              </w:rPr>
              <w:t>Stanovení úrokové sazby z SDR</w:t>
            </w:r>
          </w:p>
        </w:tc>
        <w:tc>
          <w:tcPr>
            <w:tcW w:w="2520" w:type="dxa"/>
            <w:noWrap/>
            <w:tcMar>
              <w:top w:w="15" w:type="dxa"/>
              <w:left w:w="15" w:type="dxa"/>
              <w:bottom w:w="0" w:type="dxa"/>
              <w:right w:w="15" w:type="dxa"/>
            </w:tcMar>
            <w:vAlign w:val="bottom"/>
          </w:tcPr>
          <w:p w:rsidR="00DF128A" w:rsidRPr="00DF128A" w:rsidRDefault="00DF128A" w:rsidP="009E3EA6">
            <w:pPr>
              <w:widowControl w:val="0"/>
              <w:ind w:firstLine="709"/>
              <w:jc w:val="center"/>
              <w:rPr>
                <w:rFonts w:cstheme="minorHAnsi"/>
                <w:sz w:val="20"/>
                <w:szCs w:val="20"/>
              </w:rPr>
            </w:pPr>
            <w:r w:rsidRPr="00DF128A">
              <w:rPr>
                <w:rFonts w:cstheme="minorHAnsi"/>
                <w:sz w:val="20"/>
                <w:szCs w:val="20"/>
              </w:rPr>
              <w:t>70%</w:t>
            </w:r>
          </w:p>
        </w:tc>
      </w:tr>
    </w:tbl>
    <w:p w:rsidR="00DF128A" w:rsidRPr="00DF128A" w:rsidRDefault="00DF128A" w:rsidP="00DF128A">
      <w:pPr>
        <w:widowControl w:val="0"/>
        <w:spacing w:line="276" w:lineRule="auto"/>
        <w:jc w:val="both"/>
        <w:rPr>
          <w:rFonts w:ascii="Times New Roman" w:hAnsi="Times New Roman" w:cs="Times New Roman"/>
          <w:i/>
          <w:iCs/>
          <w:sz w:val="20"/>
          <w:szCs w:val="20"/>
        </w:rPr>
      </w:pPr>
      <w:r w:rsidRPr="00DF128A">
        <w:rPr>
          <w:rFonts w:ascii="Times New Roman" w:hAnsi="Times New Roman" w:cs="Times New Roman"/>
          <w:i/>
          <w:iCs/>
          <w:sz w:val="20"/>
          <w:szCs w:val="20"/>
        </w:rPr>
        <w:t>Zdroj: Marková (2002)</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953812" w:rsidRDefault="00DF128A" w:rsidP="00953812">
      <w:pPr>
        <w:rPr>
          <w:rFonts w:ascii="Times New Roman" w:hAnsi="Times New Roman" w:cs="Times New Roman"/>
          <w:b/>
          <w:sz w:val="24"/>
          <w:szCs w:val="24"/>
        </w:rPr>
      </w:pPr>
      <w:bookmarkStart w:id="9" w:name="_Toc301254952"/>
      <w:bookmarkStart w:id="10" w:name="_Toc301255428"/>
      <w:r w:rsidRPr="00953812">
        <w:rPr>
          <w:rFonts w:ascii="Times New Roman" w:hAnsi="Times New Roman" w:cs="Times New Roman"/>
          <w:b/>
          <w:sz w:val="24"/>
          <w:szCs w:val="24"/>
        </w:rPr>
        <w:t>Zvláštní práva čerpání</w:t>
      </w:r>
      <w:bookmarkEnd w:id="9"/>
      <w:bookmarkEnd w:id="10"/>
    </w:p>
    <w:p w:rsidR="00DF128A" w:rsidRPr="00DF128A" w:rsidRDefault="00DF128A" w:rsidP="00DF128A">
      <w:pPr>
        <w:pStyle w:val="Zkladntext"/>
        <w:widowControl w:val="0"/>
        <w:spacing w:after="0"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Zvláštní práva čerpání (Special Drawing Rights/SDR) jsou jednotnou rezervní měnou užívanou v rámci MMF. SDR byla zavedena na konci 60. let 20. století s cílem stabilizovat brettonwoodský systém závislý na směnitelnosti USD za zlato a vyřešit problém nedostatečné mezinárodní likvidity. Jelikož se brettonwoodský systém zanedlouho po zavedení SDR rozpadl, nedosáhl skutečný význam SDR zamýšlené úrovně. V současnosti se tak SDR používá pouze v rámci operací MMF a v rezervních aktivech centrálních bank představuje pouze zanedbatelnou část (Zapletal 2007).</w:t>
      </w:r>
    </w:p>
    <w:p w:rsidR="00DF128A" w:rsidRDefault="00DF128A" w:rsidP="00DF128A">
      <w:pPr>
        <w:widowControl w:val="0"/>
        <w:spacing w:line="276" w:lineRule="auto"/>
        <w:ind w:firstLine="709"/>
        <w:jc w:val="both"/>
        <w:rPr>
          <w:rFonts w:ascii="Times New Roman" w:hAnsi="Times New Roman" w:cs="Times New Roman"/>
          <w:b/>
          <w:bCs/>
          <w:sz w:val="24"/>
          <w:szCs w:val="24"/>
        </w:rPr>
      </w:pPr>
    </w:p>
    <w:p w:rsidR="00953812" w:rsidRPr="00DF128A" w:rsidRDefault="00953812" w:rsidP="00DF128A">
      <w:pPr>
        <w:widowControl w:val="0"/>
        <w:spacing w:line="276" w:lineRule="auto"/>
        <w:ind w:firstLine="709"/>
        <w:jc w:val="both"/>
        <w:rPr>
          <w:rFonts w:ascii="Times New Roman" w:hAnsi="Times New Roman" w:cs="Times New Roman"/>
          <w:b/>
          <w:bCs/>
          <w:sz w:val="24"/>
          <w:szCs w:val="24"/>
        </w:rPr>
      </w:pPr>
    </w:p>
    <w:p w:rsidR="00DF128A" w:rsidRPr="00953812" w:rsidRDefault="00DF128A" w:rsidP="00953812">
      <w:pPr>
        <w:rPr>
          <w:rFonts w:ascii="Times New Roman" w:hAnsi="Times New Roman" w:cs="Times New Roman"/>
          <w:b/>
          <w:sz w:val="24"/>
          <w:szCs w:val="24"/>
        </w:rPr>
      </w:pPr>
      <w:r w:rsidRPr="00953812">
        <w:rPr>
          <w:rFonts w:ascii="Times New Roman" w:hAnsi="Times New Roman" w:cs="Times New Roman"/>
          <w:b/>
          <w:sz w:val="24"/>
          <w:szCs w:val="24"/>
        </w:rPr>
        <w:lastRenderedPageBreak/>
        <w:t>H</w:t>
      </w:r>
      <w:r w:rsidR="00953812">
        <w:rPr>
          <w:rFonts w:ascii="Times New Roman" w:hAnsi="Times New Roman" w:cs="Times New Roman"/>
          <w:b/>
          <w:sz w:val="24"/>
          <w:szCs w:val="24"/>
        </w:rPr>
        <w:t xml:space="preserve">lavní cíle a činnost </w:t>
      </w:r>
      <w:r w:rsidRPr="00953812">
        <w:rPr>
          <w:rFonts w:ascii="Times New Roman" w:hAnsi="Times New Roman" w:cs="Times New Roman"/>
          <w:b/>
          <w:sz w:val="24"/>
          <w:szCs w:val="24"/>
        </w:rPr>
        <w:t>MMF</w:t>
      </w:r>
    </w:p>
    <w:p w:rsidR="00DF128A" w:rsidRPr="00DF128A" w:rsidRDefault="00DF128A" w:rsidP="00DF128A">
      <w:pPr>
        <w:widowControl w:val="0"/>
        <w:spacing w:line="276" w:lineRule="auto"/>
        <w:ind w:firstLine="709"/>
        <w:jc w:val="both"/>
        <w:rPr>
          <w:rFonts w:ascii="Times New Roman" w:hAnsi="Times New Roman" w:cs="Times New Roman"/>
          <w:bCs/>
          <w:sz w:val="24"/>
          <w:szCs w:val="24"/>
        </w:rPr>
      </w:pPr>
      <w:r w:rsidRPr="00DF128A">
        <w:rPr>
          <w:rFonts w:ascii="Times New Roman" w:hAnsi="Times New Roman" w:cs="Times New Roman"/>
          <w:bCs/>
          <w:sz w:val="24"/>
          <w:szCs w:val="24"/>
        </w:rPr>
        <w:t>Na základě tzv. Článků dohody (Articles of Agreement), které jsou základním dokumentem upravujícím činnost MMF, lze vymezit následující cíle MMF</w:t>
      </w:r>
      <w:r w:rsidR="009E3EA6">
        <w:rPr>
          <w:rFonts w:ascii="Times New Roman" w:hAnsi="Times New Roman" w:cs="Times New Roman"/>
          <w:bCs/>
          <w:sz w:val="24"/>
          <w:szCs w:val="24"/>
        </w:rPr>
        <w:t xml:space="preserve"> </w:t>
      </w:r>
      <w:r w:rsidR="009E3EA6" w:rsidRPr="00DF128A">
        <w:rPr>
          <w:rFonts w:ascii="Times New Roman" w:hAnsi="Times New Roman" w:cs="Times New Roman"/>
          <w:sz w:val="24"/>
          <w:szCs w:val="24"/>
        </w:rPr>
        <w:t>(Marková 2002)</w:t>
      </w:r>
      <w:r w:rsidRPr="00DF128A">
        <w:rPr>
          <w:rFonts w:ascii="Times New Roman" w:hAnsi="Times New Roman" w:cs="Times New Roman"/>
          <w:bCs/>
          <w:sz w:val="24"/>
          <w:szCs w:val="24"/>
        </w:rPr>
        <w:t>:</w:t>
      </w:r>
    </w:p>
    <w:p w:rsidR="00DF128A" w:rsidRPr="00DF128A" w:rsidRDefault="00DF128A" w:rsidP="00DF128A">
      <w:pPr>
        <w:widowControl w:val="0"/>
        <w:numPr>
          <w:ilvl w:val="0"/>
          <w:numId w:val="11"/>
        </w:numPr>
        <w:tabs>
          <w:tab w:val="clear" w:pos="720"/>
          <w:tab w:val="num" w:pos="426"/>
        </w:tabs>
        <w:spacing w:line="276" w:lineRule="auto"/>
        <w:ind w:left="0" w:firstLine="284"/>
        <w:jc w:val="both"/>
        <w:rPr>
          <w:rFonts w:ascii="Times New Roman" w:hAnsi="Times New Roman" w:cs="Times New Roman"/>
          <w:i/>
          <w:iCs/>
          <w:sz w:val="24"/>
          <w:szCs w:val="24"/>
        </w:rPr>
      </w:pPr>
      <w:r w:rsidRPr="00DF128A">
        <w:rPr>
          <w:rFonts w:ascii="Times New Roman" w:hAnsi="Times New Roman" w:cs="Times New Roman"/>
          <w:i/>
          <w:iCs/>
          <w:sz w:val="24"/>
          <w:szCs w:val="24"/>
        </w:rPr>
        <w:t>podporovat mezinárodní měnovou spolupráci,</w:t>
      </w:r>
    </w:p>
    <w:p w:rsidR="00DF128A" w:rsidRPr="00DF128A" w:rsidRDefault="00DF128A" w:rsidP="00DF128A">
      <w:pPr>
        <w:widowControl w:val="0"/>
        <w:numPr>
          <w:ilvl w:val="0"/>
          <w:numId w:val="11"/>
        </w:numPr>
        <w:tabs>
          <w:tab w:val="clear" w:pos="720"/>
          <w:tab w:val="num" w:pos="426"/>
        </w:tabs>
        <w:spacing w:line="276" w:lineRule="auto"/>
        <w:ind w:left="0" w:firstLine="284"/>
        <w:jc w:val="both"/>
        <w:rPr>
          <w:rFonts w:ascii="Times New Roman" w:hAnsi="Times New Roman" w:cs="Times New Roman"/>
          <w:i/>
          <w:iCs/>
          <w:sz w:val="24"/>
          <w:szCs w:val="24"/>
        </w:rPr>
      </w:pPr>
      <w:r w:rsidRPr="00DF128A">
        <w:rPr>
          <w:rFonts w:ascii="Times New Roman" w:hAnsi="Times New Roman" w:cs="Times New Roman"/>
          <w:i/>
          <w:iCs/>
          <w:sz w:val="24"/>
          <w:szCs w:val="24"/>
        </w:rPr>
        <w:t>usnadňovat rozšiřování a vyvážený růst mezinárodního obchodu,</w:t>
      </w:r>
    </w:p>
    <w:p w:rsidR="00DF128A" w:rsidRPr="00DF128A" w:rsidRDefault="00DF128A" w:rsidP="00DF128A">
      <w:pPr>
        <w:widowControl w:val="0"/>
        <w:numPr>
          <w:ilvl w:val="0"/>
          <w:numId w:val="11"/>
        </w:numPr>
        <w:tabs>
          <w:tab w:val="clear" w:pos="720"/>
          <w:tab w:val="num" w:pos="426"/>
        </w:tabs>
        <w:spacing w:line="276" w:lineRule="auto"/>
        <w:ind w:left="0" w:firstLine="284"/>
        <w:jc w:val="both"/>
        <w:rPr>
          <w:rFonts w:ascii="Times New Roman" w:hAnsi="Times New Roman" w:cs="Times New Roman"/>
          <w:i/>
          <w:iCs/>
          <w:sz w:val="24"/>
          <w:szCs w:val="24"/>
        </w:rPr>
      </w:pPr>
      <w:r w:rsidRPr="00DF128A">
        <w:rPr>
          <w:rFonts w:ascii="Times New Roman" w:hAnsi="Times New Roman" w:cs="Times New Roman"/>
          <w:i/>
          <w:iCs/>
          <w:sz w:val="24"/>
          <w:szCs w:val="24"/>
        </w:rPr>
        <w:t>podporovat devizovou stabilitu,</w:t>
      </w:r>
    </w:p>
    <w:p w:rsidR="00DF128A" w:rsidRPr="00DF128A" w:rsidRDefault="00DF128A" w:rsidP="00DF128A">
      <w:pPr>
        <w:widowControl w:val="0"/>
        <w:numPr>
          <w:ilvl w:val="0"/>
          <w:numId w:val="11"/>
        </w:numPr>
        <w:tabs>
          <w:tab w:val="clear" w:pos="720"/>
          <w:tab w:val="num" w:pos="426"/>
        </w:tabs>
        <w:spacing w:line="276" w:lineRule="auto"/>
        <w:ind w:left="0" w:firstLine="284"/>
        <w:jc w:val="both"/>
        <w:rPr>
          <w:rFonts w:ascii="Times New Roman" w:hAnsi="Times New Roman" w:cs="Times New Roman"/>
          <w:i/>
          <w:iCs/>
          <w:sz w:val="24"/>
          <w:szCs w:val="24"/>
        </w:rPr>
      </w:pPr>
      <w:r w:rsidRPr="00DF128A">
        <w:rPr>
          <w:rFonts w:ascii="Times New Roman" w:hAnsi="Times New Roman" w:cs="Times New Roman"/>
          <w:i/>
          <w:iCs/>
          <w:sz w:val="24"/>
          <w:szCs w:val="24"/>
        </w:rPr>
        <w:t>napomáhat vytváření mnohostranných platebních systémů,</w:t>
      </w:r>
    </w:p>
    <w:p w:rsidR="00DF128A" w:rsidRPr="00DF128A" w:rsidRDefault="00DF128A" w:rsidP="00DF128A">
      <w:pPr>
        <w:widowControl w:val="0"/>
        <w:numPr>
          <w:ilvl w:val="0"/>
          <w:numId w:val="11"/>
        </w:numPr>
        <w:tabs>
          <w:tab w:val="clear" w:pos="720"/>
          <w:tab w:val="num" w:pos="426"/>
        </w:tabs>
        <w:spacing w:line="276" w:lineRule="auto"/>
        <w:ind w:left="0" w:firstLine="284"/>
        <w:jc w:val="both"/>
        <w:rPr>
          <w:rFonts w:ascii="Times New Roman" w:hAnsi="Times New Roman" w:cs="Times New Roman"/>
          <w:i/>
          <w:iCs/>
          <w:sz w:val="24"/>
          <w:szCs w:val="24"/>
        </w:rPr>
      </w:pPr>
      <w:r w:rsidRPr="00DF128A">
        <w:rPr>
          <w:rFonts w:ascii="Times New Roman" w:hAnsi="Times New Roman" w:cs="Times New Roman"/>
          <w:i/>
          <w:iCs/>
          <w:sz w:val="24"/>
          <w:szCs w:val="24"/>
        </w:rPr>
        <w:t>učinit své zdroje dočasně dostupné členům majícím potíže s platební bilancí,</w:t>
      </w:r>
    </w:p>
    <w:p w:rsidR="00DF128A" w:rsidRPr="00DF128A" w:rsidRDefault="00DF128A" w:rsidP="00DF128A">
      <w:pPr>
        <w:widowControl w:val="0"/>
        <w:numPr>
          <w:ilvl w:val="0"/>
          <w:numId w:val="11"/>
        </w:numPr>
        <w:tabs>
          <w:tab w:val="clear" w:pos="720"/>
          <w:tab w:val="num" w:pos="426"/>
        </w:tabs>
        <w:spacing w:line="276" w:lineRule="auto"/>
        <w:ind w:left="0" w:firstLine="284"/>
        <w:jc w:val="both"/>
        <w:rPr>
          <w:rFonts w:ascii="Times New Roman" w:hAnsi="Times New Roman" w:cs="Times New Roman"/>
          <w:i/>
          <w:iCs/>
          <w:sz w:val="24"/>
          <w:szCs w:val="24"/>
        </w:rPr>
      </w:pPr>
      <w:r w:rsidRPr="00DF128A">
        <w:rPr>
          <w:rFonts w:ascii="Times New Roman" w:hAnsi="Times New Roman" w:cs="Times New Roman"/>
          <w:i/>
          <w:iCs/>
          <w:sz w:val="24"/>
          <w:szCs w:val="24"/>
        </w:rPr>
        <w:t>zkrátit trvání a zmírnit stupeň nerovnováhy v mezinárodních platebních bilancích členů</w:t>
      </w:r>
      <w:r w:rsidRPr="00DF128A">
        <w:rPr>
          <w:rFonts w:ascii="Times New Roman" w:hAnsi="Times New Roman" w:cs="Times New Roman"/>
          <w:sz w:val="24"/>
          <w:szCs w:val="24"/>
        </w:rPr>
        <w:t>.</w:t>
      </w:r>
    </w:p>
    <w:p w:rsidR="00DF128A" w:rsidRPr="00DF128A" w:rsidRDefault="00DF128A" w:rsidP="00DF128A">
      <w:pPr>
        <w:widowControl w:val="0"/>
        <w:spacing w:line="276" w:lineRule="auto"/>
        <w:ind w:firstLine="709"/>
        <w:jc w:val="both"/>
        <w:rPr>
          <w:rFonts w:ascii="Times New Roman" w:hAnsi="Times New Roman" w:cs="Times New Roman"/>
          <w:bCs/>
          <w:sz w:val="24"/>
          <w:szCs w:val="24"/>
        </w:rPr>
      </w:pPr>
    </w:p>
    <w:p w:rsidR="00DF128A" w:rsidRPr="00DF128A" w:rsidRDefault="00DF128A" w:rsidP="00DF128A">
      <w:pPr>
        <w:pStyle w:val="Zkladntext3"/>
        <w:widowControl w:val="0"/>
        <w:spacing w:after="0"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Obecně lze tedy říci, že MMF má zajišťovat stabilitu světové ekonomiky ve finanční oblasti, čímž by se předcházelo ekonomickým krizím a zjednodušovaly by se podmínky pro rozvoj mezinárodního obchodu.</w:t>
      </w:r>
    </w:p>
    <w:p w:rsidR="00DF128A" w:rsidRPr="00DF128A" w:rsidRDefault="00DF128A" w:rsidP="00DF128A">
      <w:pPr>
        <w:pStyle w:val="Zkladntext"/>
        <w:widowControl w:val="0"/>
        <w:spacing w:after="0" w:line="276" w:lineRule="auto"/>
        <w:ind w:firstLine="709"/>
        <w:jc w:val="both"/>
        <w:rPr>
          <w:rFonts w:ascii="Times New Roman" w:hAnsi="Times New Roman" w:cs="Times New Roman"/>
          <w:bCs/>
          <w:sz w:val="24"/>
          <w:szCs w:val="24"/>
        </w:rPr>
      </w:pPr>
      <w:r w:rsidRPr="00DF128A">
        <w:rPr>
          <w:rFonts w:ascii="Times New Roman" w:hAnsi="Times New Roman" w:cs="Times New Roman"/>
          <w:bCs/>
          <w:sz w:val="24"/>
          <w:szCs w:val="24"/>
        </w:rPr>
        <w:t>V souvislosti s vývojem světové ekonomiky a měnícími se potřebami členských zemí docházelo v průběhu existence MMF k neustálému rozšiřování jeho činnosti. MMF se proto v současné době kromě původních cílů zaměřuje také na:</w:t>
      </w:r>
    </w:p>
    <w:p w:rsidR="00DF128A" w:rsidRPr="00DF128A" w:rsidRDefault="00DF128A" w:rsidP="00DF128A">
      <w:pPr>
        <w:widowControl w:val="0"/>
        <w:numPr>
          <w:ilvl w:val="0"/>
          <w:numId w:val="10"/>
        </w:numPr>
        <w:spacing w:line="276" w:lineRule="auto"/>
        <w:ind w:left="0" w:firstLine="709"/>
        <w:jc w:val="both"/>
        <w:rPr>
          <w:rFonts w:ascii="Times New Roman" w:hAnsi="Times New Roman" w:cs="Times New Roman"/>
          <w:bCs/>
          <w:i/>
          <w:iCs/>
          <w:sz w:val="24"/>
          <w:szCs w:val="24"/>
        </w:rPr>
      </w:pPr>
      <w:r w:rsidRPr="00DF128A">
        <w:rPr>
          <w:rFonts w:ascii="Times New Roman" w:hAnsi="Times New Roman" w:cs="Times New Roman"/>
          <w:bCs/>
          <w:i/>
          <w:iCs/>
          <w:sz w:val="24"/>
          <w:szCs w:val="24"/>
        </w:rPr>
        <w:t>vytváření nových prostředků mezinárodní likvidity (SDR),</w:t>
      </w:r>
    </w:p>
    <w:p w:rsidR="00DF128A" w:rsidRPr="00DF128A" w:rsidRDefault="00DF128A" w:rsidP="00DF128A">
      <w:pPr>
        <w:widowControl w:val="0"/>
        <w:numPr>
          <w:ilvl w:val="0"/>
          <w:numId w:val="10"/>
        </w:numPr>
        <w:spacing w:line="276" w:lineRule="auto"/>
        <w:ind w:left="0" w:firstLine="709"/>
        <w:jc w:val="both"/>
        <w:rPr>
          <w:rFonts w:ascii="Times New Roman" w:hAnsi="Times New Roman" w:cs="Times New Roman"/>
          <w:bCs/>
          <w:i/>
          <w:iCs/>
          <w:sz w:val="24"/>
          <w:szCs w:val="24"/>
        </w:rPr>
      </w:pPr>
      <w:r w:rsidRPr="00DF128A">
        <w:rPr>
          <w:rFonts w:ascii="Times New Roman" w:hAnsi="Times New Roman" w:cs="Times New Roman"/>
          <w:bCs/>
          <w:i/>
          <w:iCs/>
          <w:sz w:val="24"/>
          <w:szCs w:val="24"/>
        </w:rPr>
        <w:t>pomoc při řešení problémů zadluženosti rozvojových zemí,</w:t>
      </w:r>
    </w:p>
    <w:p w:rsidR="00DF128A" w:rsidRPr="00DF128A" w:rsidRDefault="00DF128A" w:rsidP="00DF128A">
      <w:pPr>
        <w:widowControl w:val="0"/>
        <w:numPr>
          <w:ilvl w:val="0"/>
          <w:numId w:val="10"/>
        </w:numPr>
        <w:spacing w:line="276" w:lineRule="auto"/>
        <w:ind w:left="0" w:firstLine="709"/>
        <w:jc w:val="both"/>
        <w:rPr>
          <w:rFonts w:ascii="Times New Roman" w:hAnsi="Times New Roman" w:cs="Times New Roman"/>
          <w:bCs/>
          <w:sz w:val="24"/>
          <w:szCs w:val="24"/>
        </w:rPr>
      </w:pPr>
      <w:r w:rsidRPr="00DF128A">
        <w:rPr>
          <w:rFonts w:ascii="Times New Roman" w:hAnsi="Times New Roman" w:cs="Times New Roman"/>
          <w:bCs/>
          <w:i/>
          <w:iCs/>
          <w:sz w:val="24"/>
          <w:szCs w:val="24"/>
        </w:rPr>
        <w:t>výzkumně informační a poradenskou činnost</w:t>
      </w:r>
      <w:r w:rsidRPr="00DF128A">
        <w:rPr>
          <w:rFonts w:ascii="Times New Roman" w:hAnsi="Times New Roman" w:cs="Times New Roman"/>
          <w:bCs/>
          <w:sz w:val="24"/>
          <w:szCs w:val="24"/>
        </w:rPr>
        <w:t xml:space="preserve"> (Marková 2002).</w:t>
      </w:r>
    </w:p>
    <w:p w:rsidR="00DF128A" w:rsidRPr="00DF128A" w:rsidRDefault="00DF128A" w:rsidP="00DF128A">
      <w:pPr>
        <w:widowControl w:val="0"/>
        <w:spacing w:line="276" w:lineRule="auto"/>
        <w:ind w:firstLine="709"/>
        <w:jc w:val="both"/>
        <w:rPr>
          <w:rFonts w:ascii="Times New Roman" w:hAnsi="Times New Roman" w:cs="Times New Roman"/>
          <w:bCs/>
          <w:sz w:val="24"/>
          <w:szCs w:val="24"/>
        </w:rPr>
      </w:pPr>
    </w:p>
    <w:p w:rsidR="00DF128A" w:rsidRPr="00DF128A" w:rsidRDefault="00DF128A" w:rsidP="00DF128A">
      <w:pPr>
        <w:pStyle w:val="Zkladntext"/>
        <w:widowControl w:val="0"/>
        <w:spacing w:after="0"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Prvotním úkolem MMF bylo řídit systém pevných devizových kursů, kdy se hodnota všech světových měn vztahovala k americkému dolaru, který byl volně směnitelný za zlato. Druhým základním úkolem MMF bylo poskytování krátkodobé finanční podpory zemím, které vyčerpaly své zahraniční měnové rezervy a ocitly se v potížích. V roce 1971 však USA zrušily volnou směnitelnost dolaru za zlato a měnový systém pevných devizových kursů se rozpadl. Nově byl vytvořen systém volně pohyblivých měnových kurzů členských zemí MMF (tzv. floating), v němž je hodnota jednotlivých měn určována trhem nebo zásahy jednotlivých vlád. Během těchto změn začínala existence MMF postupně ztrácet smysl. I přes to byl však MMF zachován, a to jako konzultační, poradenský a dozorový orgán poskytující krátkodobé půjčky (Zapletal 2007). Zastáncům MMF poskytla argumenty pro další existenci MMF ropná krize začátkem 70. let. Bezprecedentní navýšení cen ropy v letech 1973-74 vedlo k závratným ziskům pro ropné státy, zatímco státy importující ropu začínaly mít závažné hospodářské potíže a projevily zájem o půjčky MMF.</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Podle Zapletala (2007) lze v současné době vymezit tři základní činnosti MMF. První z nich je </w:t>
      </w:r>
      <w:r w:rsidRPr="00DF128A">
        <w:rPr>
          <w:rFonts w:ascii="Times New Roman" w:hAnsi="Times New Roman" w:cs="Times New Roman"/>
          <w:i/>
          <w:iCs/>
          <w:sz w:val="24"/>
          <w:szCs w:val="24"/>
        </w:rPr>
        <w:t>dohled na mezinárodní finanční systém, tzv. surveillance</w:t>
      </w:r>
      <w:r w:rsidRPr="00DF128A">
        <w:rPr>
          <w:rFonts w:ascii="Times New Roman" w:hAnsi="Times New Roman" w:cs="Times New Roman"/>
          <w:sz w:val="24"/>
          <w:szCs w:val="24"/>
        </w:rPr>
        <w:t>. Tato činnost je vykonávána formou pravidelné konzultace se zástupci jednotlivých členských států. MMF monitoruje ekonomický a finanční vývoj jednotlivých členských zemí. Konzultace se provádí zpravidla jednou ročně a hodnotí i to, nakolik se politika členských států řídí doporučeními MMF.</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Další činností MMF je </w:t>
      </w:r>
      <w:r w:rsidRPr="00DF128A">
        <w:rPr>
          <w:rFonts w:ascii="Times New Roman" w:hAnsi="Times New Roman" w:cs="Times New Roman"/>
          <w:i/>
          <w:iCs/>
          <w:sz w:val="24"/>
          <w:szCs w:val="24"/>
        </w:rPr>
        <w:t>finanční asistence (financial assistance)</w:t>
      </w:r>
      <w:r w:rsidRPr="00DF128A">
        <w:rPr>
          <w:rStyle w:val="Znakapoznpodarou"/>
          <w:rFonts w:ascii="Times New Roman" w:hAnsi="Times New Roman" w:cs="Times New Roman"/>
          <w:sz w:val="24"/>
          <w:szCs w:val="24"/>
        </w:rPr>
        <w:footnoteReference w:id="4"/>
      </w:r>
      <w:r w:rsidRPr="00DF128A">
        <w:rPr>
          <w:rFonts w:ascii="Times New Roman" w:hAnsi="Times New Roman" w:cs="Times New Roman"/>
          <w:sz w:val="24"/>
          <w:szCs w:val="24"/>
        </w:rPr>
        <w:t xml:space="preserve">. Ta spočívá </w:t>
      </w:r>
      <w:r w:rsidRPr="00DF128A">
        <w:rPr>
          <w:rFonts w:ascii="Times New Roman" w:hAnsi="Times New Roman" w:cs="Times New Roman"/>
          <w:sz w:val="24"/>
          <w:szCs w:val="24"/>
        </w:rPr>
        <w:lastRenderedPageBreak/>
        <w:t>v poskytování úvěrů zemím, které se nacházejí v hospodářské krizi nebo na jejím počátku. Nejedná se pouze o dočasné financování, ale o podporu opatření a reforem zaměřených na nápravu těchto finančních problémů</w:t>
      </w:r>
      <w:r w:rsidRPr="00DF128A">
        <w:rPr>
          <w:rStyle w:val="Znakapoznpodarou"/>
          <w:rFonts w:ascii="Times New Roman" w:hAnsi="Times New Roman" w:cs="Times New Roman"/>
          <w:sz w:val="24"/>
          <w:szCs w:val="24"/>
        </w:rPr>
        <w:footnoteReference w:id="5"/>
      </w:r>
      <w:r w:rsidRPr="00DF128A">
        <w:rPr>
          <w:rFonts w:ascii="Times New Roman" w:hAnsi="Times New Roman" w:cs="Times New Roman"/>
          <w:sz w:val="24"/>
          <w:szCs w:val="24"/>
        </w:rPr>
        <w:t>. Jako konkrétní příklady lze zmínit půjčku Mexiku v polovině 90. let (cca 18 mld. USD) a Rusku (více než 6,2 mld. USD). V červnu 1998 se MMF zavázal k půjčce ve výši 35 mld. USD Indonésii, Koreji a Thajsku a podpořil hospodářský program Ruska pro rok 1998 půjčkou ve výši 20,4 mld. USD (Prokopcová 2008).</w:t>
      </w:r>
    </w:p>
    <w:p w:rsidR="00DF128A" w:rsidRPr="00DF128A" w:rsidRDefault="00DF128A" w:rsidP="00DF128A">
      <w:pPr>
        <w:pStyle w:val="Zkladntext"/>
        <w:widowControl w:val="0"/>
        <w:spacing w:after="0"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MMF své půjčky, které lze rozdělit na krátkodobé a střednědobé, podmiňuje opatřeními na zlepšení platební bilance jednotlivých států, které mají zajistit návratnost půjček pro MMF. Střednědobé půjčky jsou podmíněny tzv. </w:t>
      </w:r>
      <w:r w:rsidRPr="00DF128A">
        <w:rPr>
          <w:rFonts w:ascii="Times New Roman" w:hAnsi="Times New Roman" w:cs="Times New Roman"/>
          <w:i/>
          <w:iCs/>
          <w:sz w:val="24"/>
          <w:szCs w:val="24"/>
        </w:rPr>
        <w:t>Programy strukturálních úprav (Structural Adjustment Policies, SAPs)</w:t>
      </w:r>
      <w:r w:rsidRPr="00DF128A">
        <w:rPr>
          <w:rFonts w:ascii="Times New Roman" w:hAnsi="Times New Roman" w:cs="Times New Roman"/>
          <w:sz w:val="24"/>
          <w:szCs w:val="24"/>
        </w:rPr>
        <w:t>, které mají za hlavní cíl privatizaci veřejných služeb. Požadovaná deregulace zahrnuje eliminaci omezení na finanční transakce a investice. MMF se prostřednictvím Programů strukturálních úprav snaží integrovat zemi do světového obchodu a to např. tím, že ji stimuluje ke zvýšení exportu, zvyšování finanční podpory a snižováním daní zahraničním investorům a konečně také k odbourání veškerých bariér omezujících světový obchod (např. ochranných cel).</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Mezi poslední základní činnost MMF patří </w:t>
      </w:r>
      <w:r w:rsidRPr="00DF128A">
        <w:rPr>
          <w:rFonts w:ascii="Times New Roman" w:hAnsi="Times New Roman" w:cs="Times New Roman"/>
          <w:i/>
          <w:iCs/>
          <w:sz w:val="24"/>
          <w:szCs w:val="24"/>
        </w:rPr>
        <w:t>technická asistence (technical assistance)</w:t>
      </w:r>
      <w:r w:rsidRPr="00DF128A">
        <w:rPr>
          <w:rFonts w:ascii="Times New Roman" w:hAnsi="Times New Roman" w:cs="Times New Roman"/>
          <w:sz w:val="24"/>
          <w:szCs w:val="24"/>
        </w:rPr>
        <w:t>, která je poskytována vládám a centrálním bankám jednotlivých členských zemí. Tato odborná poradenství jsou prováděná formou různých expertních školení.</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128A" w:rsidP="00953812">
      <w:pPr>
        <w:rPr>
          <w:rFonts w:ascii="Times New Roman" w:hAnsi="Times New Roman" w:cs="Times New Roman"/>
          <w:bCs/>
          <w:sz w:val="24"/>
          <w:szCs w:val="24"/>
        </w:rPr>
      </w:pPr>
      <w:r w:rsidRPr="00DF128A">
        <w:rPr>
          <w:rFonts w:ascii="Times New Roman" w:hAnsi="Times New Roman" w:cs="Times New Roman"/>
          <w:b/>
          <w:sz w:val="24"/>
          <w:szCs w:val="24"/>
        </w:rPr>
        <w:t>P</w:t>
      </w:r>
      <w:r w:rsidR="00953812">
        <w:rPr>
          <w:rFonts w:ascii="Times New Roman" w:hAnsi="Times New Roman" w:cs="Times New Roman"/>
          <w:b/>
          <w:sz w:val="24"/>
          <w:szCs w:val="24"/>
        </w:rPr>
        <w:t xml:space="preserve">říklady konkrétních dopadů politiky </w:t>
      </w:r>
      <w:r w:rsidRPr="00DF128A">
        <w:rPr>
          <w:rFonts w:ascii="Times New Roman" w:hAnsi="Times New Roman" w:cs="Times New Roman"/>
          <w:b/>
          <w:sz w:val="24"/>
          <w:szCs w:val="24"/>
        </w:rPr>
        <w:t xml:space="preserve">MMF </w:t>
      </w:r>
      <w:r w:rsidR="00953812">
        <w:rPr>
          <w:rFonts w:ascii="Times New Roman" w:hAnsi="Times New Roman" w:cs="Times New Roman"/>
          <w:b/>
          <w:sz w:val="24"/>
          <w:szCs w:val="24"/>
        </w:rPr>
        <w:t>a jeho kritika</w:t>
      </w:r>
    </w:p>
    <w:p w:rsidR="00DF128A" w:rsidRPr="00DF128A" w:rsidRDefault="00DF128A" w:rsidP="00DF128A">
      <w:pPr>
        <w:pStyle w:val="Zpat"/>
        <w:widowControl w:val="0"/>
        <w:tabs>
          <w:tab w:val="clear" w:pos="4536"/>
          <w:tab w:val="clear" w:pos="9072"/>
        </w:tabs>
        <w:spacing w:line="276" w:lineRule="auto"/>
        <w:ind w:firstLine="709"/>
        <w:jc w:val="both"/>
      </w:pPr>
      <w:r w:rsidRPr="00DF128A">
        <w:rPr>
          <w:bCs/>
        </w:rPr>
        <w:t>Podle Prokopcové (2008) můžeme kritiky MMF obecně rozdělit na levicově orientované a pravicově orientované. Levicově orientovaní</w:t>
      </w:r>
      <w:r w:rsidRPr="00DF128A">
        <w:t xml:space="preserve"> kritici MMF zdůrazňují zvyšování dominance rozvinutých států nad rozvojovými, čímž vzniká nerovnost hlasů uvnitř MMF. Dále poukazují na skutečnost, že i když mají být národní banky jednotlivých členů vůči vládě státu neutrální a mají být neovlivnitelné, v některých státech světa tomu tak úplně není. V důsledku toho se zvyšuje možnost korupčního jednání, čímž se snižuje efektivita využití čerpaných peněz. </w:t>
      </w:r>
    </w:p>
    <w:p w:rsidR="00DF128A" w:rsidRPr="00DF128A" w:rsidRDefault="00DF128A" w:rsidP="00DF128A">
      <w:pPr>
        <w:widowControl w:val="0"/>
        <w:spacing w:line="276" w:lineRule="auto"/>
        <w:ind w:firstLine="709"/>
        <w:jc w:val="both"/>
        <w:rPr>
          <w:rFonts w:ascii="Times New Roman" w:hAnsi="Times New Roman" w:cs="Times New Roman"/>
          <w:spacing w:val="6"/>
          <w:sz w:val="24"/>
          <w:szCs w:val="24"/>
        </w:rPr>
      </w:pPr>
      <w:r w:rsidRPr="00DF128A">
        <w:rPr>
          <w:rFonts w:ascii="Times New Roman" w:hAnsi="Times New Roman" w:cs="Times New Roman"/>
          <w:bCs/>
          <w:spacing w:val="6"/>
          <w:sz w:val="24"/>
          <w:szCs w:val="24"/>
        </w:rPr>
        <w:t>Pravicově orientovaní kritici nesouhlasí</w:t>
      </w:r>
      <w:r w:rsidRPr="00DF128A">
        <w:rPr>
          <w:rFonts w:ascii="Times New Roman" w:hAnsi="Times New Roman" w:cs="Times New Roman"/>
          <w:spacing w:val="6"/>
          <w:sz w:val="24"/>
          <w:szCs w:val="24"/>
        </w:rPr>
        <w:t xml:space="preserve"> s regulační povahou jednání MMF. Naopak zastávají názor, že MMF by neměl zasahovat do mezinárodního dění pomocí „umělé“ stabilizace směnných kurzů. Odsuzují také kumulaci kapitálu ve formě rezerv, čímž jsou podle nich prostředky, které by bylo vhodnější pustit do oběhu, zbytečně zadržovány.</w:t>
      </w:r>
    </w:p>
    <w:p w:rsidR="00DF128A" w:rsidRPr="00DF128A" w:rsidRDefault="00DF128A" w:rsidP="00DF128A">
      <w:pPr>
        <w:widowControl w:val="0"/>
        <w:spacing w:line="276" w:lineRule="auto"/>
        <w:ind w:firstLine="709"/>
        <w:jc w:val="both"/>
        <w:rPr>
          <w:rFonts w:ascii="Times New Roman" w:hAnsi="Times New Roman" w:cs="Times New Roman"/>
          <w:color w:val="000000"/>
          <w:sz w:val="24"/>
          <w:szCs w:val="24"/>
        </w:rPr>
      </w:pPr>
      <w:r w:rsidRPr="00DF128A">
        <w:rPr>
          <w:rFonts w:ascii="Times New Roman" w:hAnsi="Times New Roman" w:cs="Times New Roman"/>
          <w:spacing w:val="6"/>
          <w:sz w:val="24"/>
          <w:szCs w:val="24"/>
        </w:rPr>
        <w:t xml:space="preserve">Další často diskutovanou a kritizovanou skutečností je to, že MMF byl založený na </w:t>
      </w:r>
      <w:r w:rsidRPr="00DF128A">
        <w:rPr>
          <w:rFonts w:ascii="Times New Roman" w:hAnsi="Times New Roman" w:cs="Times New Roman"/>
          <w:bCs/>
          <w:spacing w:val="6"/>
          <w:sz w:val="24"/>
          <w:szCs w:val="24"/>
        </w:rPr>
        <w:t>Keynesově ekonomické teorii, která je ale považována již od 70. let za překonanou. Ekonom a bývalý viceprezident Světové</w:t>
      </w:r>
      <w:r w:rsidRPr="00DF128A">
        <w:rPr>
          <w:rFonts w:ascii="Times New Roman" w:hAnsi="Times New Roman" w:cs="Times New Roman"/>
          <w:spacing w:val="6"/>
          <w:sz w:val="24"/>
          <w:szCs w:val="24"/>
        </w:rPr>
        <w:t xml:space="preserve"> banky Joseph E. Stiglitz (2003) tvrdí</w:t>
      </w:r>
      <w:r w:rsidRPr="00DF128A">
        <w:rPr>
          <w:rFonts w:ascii="Times New Roman" w:hAnsi="Times New Roman" w:cs="Times New Roman"/>
          <w:color w:val="000000"/>
          <w:sz w:val="24"/>
          <w:szCs w:val="24"/>
        </w:rPr>
        <w:t>, že pokud by MMF překonal myšlenku Keynesova ekonomického přístupu a přerodil se v instituci na monetaristických základech, byla by celá instituce mnohem efektivnější. Pokud však k této transformaci nedojde, je budoucí role MMF velmi nejasná a je možné, že v budoucnosti zanikne jako neužitečný relikt.</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lastRenderedPageBreak/>
        <w:t>Kromě těchto kritik spíše ekonomicko-politického charakteru se objevují také kritiky zaměřené na konkrétní činnosti MMF a jejich dopady na jednotlivé státy. Mezi ně patří například skutečnost, že doporučení MMF jednotlivým členským zemím v oblasti jejich hospodářské politiky závisí na množství a kvalitě informací, které MMF o daných zemích má a také jakým způsobem tyto informace vyhodnotí. Odborné studie odhadují, že na jednu zemi připadá v MMF přibližně sedm ekonomů, což je příliš málo na to, aby MMF získal komplexní přehled o aktuálním dění v těchto zemích</w:t>
      </w:r>
      <w:r w:rsidRPr="00DF128A">
        <w:rPr>
          <w:rStyle w:val="Znakapoznpodarou"/>
          <w:rFonts w:ascii="Times New Roman" w:hAnsi="Times New Roman" w:cs="Times New Roman"/>
          <w:sz w:val="24"/>
          <w:szCs w:val="24"/>
        </w:rPr>
        <w:footnoteReference w:id="6"/>
      </w:r>
      <w:r w:rsidRPr="00DF128A">
        <w:rPr>
          <w:rFonts w:ascii="Times New Roman" w:hAnsi="Times New Roman" w:cs="Times New Roman"/>
          <w:sz w:val="24"/>
          <w:szCs w:val="24"/>
        </w:rPr>
        <w:t xml:space="preserve">.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MMF bývá také často vytýkán nedostatek transparentnosti. MMF sice v poslední době podnikl několik opatření ke zprůhlednění své politiky, ovšem bez většího efektu. Nedávno např. přijal stanovisko doporučující vládám jednotlivých členských zemí zveřejňovat smlouvy o půjčkách. Většina vlád se ale tímto doporučením neřídí a pokud ano, tak bývají zveřejňovány jen méně podstatné informace. Většinou zde chybí např. podmínky splácení dluhů, politická opatření spojená s půjčkou a popis nařízených strukturálních úprav. Veřejnosti taktéž nejsou přístupné zápisy ze setkání Výkonného sboru a takto je pro ni nemožné do těchto jednání účinně vstupovat. Dalším problémem je, že veškeré informace o fungování a činnosti MMF se nachází téměř výhradně na internetových stránkách MMF. To představuje problém zejména pro obyvatele chudších oblastí světa, kteří mají přístup k internetu omezený či žádný.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bCs/>
          <w:sz w:val="24"/>
          <w:szCs w:val="24"/>
        </w:rPr>
        <w:t xml:space="preserve">MMF vyžaduje od států, kterým poskytl půjčku, prosazení liberalizace jednotlivých hospodářství a splacení půjčky v daném termínu. Jedinou možností, jak mohou dané státy získat prostředky na splácení půjčky, je zvýšení exportu. To vede k nešetrnému a především trvale neudržitelnému vytěžování přírodních zdrojů. Jednou z obětí politiky prosazované MMF je tak životní prostředí. Ministři životního prostředí navíc nemají přístup na jednání mezi vládou a MMF, což situaci výrazně ztěžuje. V tomto důsledku 33 z nejvíce </w:t>
      </w:r>
      <w:r w:rsidRPr="00DF128A">
        <w:rPr>
          <w:rFonts w:ascii="Times New Roman" w:hAnsi="Times New Roman" w:cs="Times New Roman"/>
          <w:sz w:val="24"/>
          <w:szCs w:val="24"/>
        </w:rPr>
        <w:t>zadlužených a nejchudších afrických zemí ztratilo o 50% více lesní plochy než ostatní africké země (Stiglitz 2003).</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Konkrétním příkladem může být Guyana. V této zemi došlo během krátkého období k masivnímu rozvoji surovinového a dřevařského průmyslu, jež je v rukou zahraničních investorů. Těžba surovin zničila místní ekosystémy, znečistila vodní zdroje a znehodnotila okolní půdu. Míra těžby dřeva již dávno překročila trvale udržitelné limity. Již v roce 1988 zveřejnila vláda nové podmínky pro investory, které jsou považovány za jedny z nejliberálnějších v Latinské Americe. V praxi zde neexistuje omezení, kolik a co mohou zahraniční investoři vlastnit a výsledky procesu EIA (posuzování vlivu na životní prostředí) nejsou přístupné veřejnosti. Škrty v rozpočtu guyanské vlády vedly k rapidnímu snížení výdajů na ochranu životního prostředí a vláda není schopná dohlížet na dodržování zákonů na ochranu životního prostředí (Stiglitz 2003).</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MMF je podle Zapletala (2007) také přímo svázán s problémem dluhů zemí třetího světa. Pro 41 z nejvíce zadlužených zemí světa vzrostla dlužná částka z 55 mld. USD v roce 1980 na 215 mld. USD v roce 1995 a stále se zvyšuje. Výsledkem je soustředění finančních prostředků na splácení dluhů, a to na úkor financování ochrany životního prostředí či </w:t>
      </w:r>
      <w:r w:rsidRPr="00DF128A">
        <w:rPr>
          <w:rFonts w:ascii="Times New Roman" w:hAnsi="Times New Roman" w:cs="Times New Roman"/>
          <w:sz w:val="24"/>
          <w:szCs w:val="24"/>
        </w:rPr>
        <w:lastRenderedPageBreak/>
        <w:t xml:space="preserve">sociálních výdajů. Nové půjčky jsou používány ke splácení půjček předešlých, respektive pouze jejich úroků, čímž se země dostávají do začarovaného kruhu. Situace už zašla tak daleko, že se nadnárodní finanční instituce a vlády nejbohatších zemí světa ze strachu z ohrožení globální ekonomiky rozhodly v roce 1996 odpustit dluhy nejvíce zadluženým zemím světa a založily tzv. kategorii HIPC (High Indebted Poor Countries). </w:t>
      </w:r>
    </w:p>
    <w:p w:rsidR="00DF128A" w:rsidRPr="00DF128A" w:rsidRDefault="00DF128A" w:rsidP="00DF128A">
      <w:pPr>
        <w:widowControl w:val="0"/>
        <w:spacing w:line="276" w:lineRule="auto"/>
        <w:ind w:firstLine="709"/>
        <w:jc w:val="both"/>
        <w:rPr>
          <w:rFonts w:ascii="Times New Roman" w:hAnsi="Times New Roman" w:cs="Times New Roman"/>
          <w:sz w:val="24"/>
          <w:szCs w:val="24"/>
          <w:u w:val="single"/>
        </w:rPr>
      </w:pPr>
    </w:p>
    <w:p w:rsidR="00DF128A" w:rsidRPr="00953812" w:rsidRDefault="00DF128A" w:rsidP="00953812">
      <w:pPr>
        <w:rPr>
          <w:rFonts w:ascii="Times New Roman" w:hAnsi="Times New Roman" w:cs="Times New Roman"/>
          <w:b/>
          <w:sz w:val="24"/>
          <w:szCs w:val="24"/>
        </w:rPr>
      </w:pPr>
      <w:r w:rsidRPr="00953812">
        <w:rPr>
          <w:rFonts w:ascii="Times New Roman" w:hAnsi="Times New Roman" w:cs="Times New Roman"/>
          <w:b/>
          <w:sz w:val="24"/>
          <w:szCs w:val="24"/>
        </w:rPr>
        <w:t>Z</w:t>
      </w:r>
      <w:r w:rsidR="00953812">
        <w:rPr>
          <w:rFonts w:ascii="Times New Roman" w:hAnsi="Times New Roman" w:cs="Times New Roman"/>
          <w:b/>
          <w:sz w:val="24"/>
          <w:szCs w:val="24"/>
        </w:rPr>
        <w:t>ávěr</w:t>
      </w:r>
    </w:p>
    <w:p w:rsidR="00DF128A" w:rsidRPr="00DF128A" w:rsidRDefault="00DF128A" w:rsidP="00DF128A">
      <w:pPr>
        <w:pStyle w:val="Zkladntext"/>
        <w:widowControl w:val="0"/>
        <w:spacing w:after="0"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Mezinárodní měnový fond hraje od svého založení významnou roli jak v globální ekonomice, tak v hospodářské politice jednotlivých členských států. Členství v MMF přináší státům řadu výhod. Jedná se n</w:t>
      </w:r>
      <w:r w:rsidRPr="00DF128A">
        <w:rPr>
          <w:rFonts w:ascii="Times New Roman" w:hAnsi="Times New Roman" w:cs="Times New Roman"/>
          <w:spacing w:val="6"/>
          <w:sz w:val="24"/>
          <w:szCs w:val="24"/>
        </w:rPr>
        <w:t xml:space="preserve">apříklad o možnost čerpat finanční zdroje MMF, podílet se na směřování mezinárodní politiky ve finanční oblasti, využívat poradenské a jiné technické služby poskytované MMF, získávat statistické informace o ostatních členech či zlepšení obrazu daného státu v očích ostatních účastníků mezinárodního dění. </w:t>
      </w:r>
      <w:r w:rsidRPr="00DF128A">
        <w:rPr>
          <w:rFonts w:ascii="Times New Roman" w:hAnsi="Times New Roman" w:cs="Times New Roman"/>
          <w:sz w:val="24"/>
          <w:szCs w:val="24"/>
        </w:rPr>
        <w:t>Přestože jsou principy a cíle MMF spíše pozitivní, stále častěji se ozývají kritické hlasy požadující reformu MMF či jeho úplné zrušení. Nejčastěji je MMF kritizován za nerovnoměrné rozdělení hlasovací síly jednotlivých států, čímž se ještě více prohlubuje rozdíl mezi nejbohatšími a nejchudšími státy světa. Kritizována je také samotná úvěrová politika MMF či ekonomická teorie, ze které činnost MMF vychází. Je zřejmé, že pokud MMF nepřijme taková opatření, která by vyřešila např. problém nejchudších států světa či současné neefektivní řešení krizí, bude kritiky MMF přibývat a je otázkou, zda opravdu nedojde k jeho úplnému zrušení.</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EE0CF5" w:rsidP="00DF128A">
      <w:pPr>
        <w:widowControl w:val="0"/>
        <w:spacing w:line="276" w:lineRule="auto"/>
        <w:jc w:val="both"/>
        <w:rPr>
          <w:rFonts w:ascii="Times New Roman" w:hAnsi="Times New Roman" w:cs="Times New Roman"/>
          <w:b/>
          <w:sz w:val="24"/>
          <w:szCs w:val="24"/>
        </w:rPr>
      </w:pPr>
      <w:r>
        <w:rPr>
          <w:rFonts w:ascii="Times New Roman" w:hAnsi="Times New Roman" w:cs="Times New Roman"/>
          <w:b/>
          <w:sz w:val="24"/>
          <w:szCs w:val="24"/>
        </w:rPr>
        <w:t>LITERATURA A</w:t>
      </w:r>
      <w:r w:rsidR="00DF128A" w:rsidRPr="00DF128A">
        <w:rPr>
          <w:rFonts w:ascii="Times New Roman" w:hAnsi="Times New Roman" w:cs="Times New Roman"/>
          <w:b/>
          <w:sz w:val="24"/>
          <w:szCs w:val="24"/>
        </w:rPr>
        <w:t xml:space="preserve"> ZDROJE</w:t>
      </w:r>
    </w:p>
    <w:p w:rsidR="00DF128A" w:rsidRPr="00DF128A" w:rsidRDefault="00DF128A" w:rsidP="00DF128A">
      <w:pPr>
        <w:widowControl w:val="0"/>
        <w:spacing w:after="120" w:line="276" w:lineRule="auto"/>
        <w:jc w:val="both"/>
        <w:rPr>
          <w:rFonts w:ascii="Times New Roman" w:hAnsi="Times New Roman" w:cs="Times New Roman"/>
          <w:sz w:val="20"/>
          <w:szCs w:val="20"/>
        </w:rPr>
      </w:pPr>
      <w:r w:rsidRPr="00DF128A">
        <w:rPr>
          <w:rFonts w:ascii="Times New Roman" w:hAnsi="Times New Roman" w:cs="Times New Roman"/>
          <w:sz w:val="20"/>
          <w:szCs w:val="20"/>
        </w:rPr>
        <w:t>L</w:t>
      </w:r>
      <w:r w:rsidR="009E3EA6">
        <w:rPr>
          <w:rFonts w:ascii="Times New Roman" w:hAnsi="Times New Roman" w:cs="Times New Roman"/>
          <w:sz w:val="20"/>
          <w:szCs w:val="20"/>
        </w:rPr>
        <w:t>iška</w:t>
      </w:r>
      <w:r w:rsidRPr="00DF128A">
        <w:rPr>
          <w:rFonts w:ascii="Times New Roman" w:hAnsi="Times New Roman" w:cs="Times New Roman"/>
          <w:sz w:val="20"/>
          <w:szCs w:val="20"/>
        </w:rPr>
        <w:t>, V.</w:t>
      </w:r>
      <w:r w:rsidR="009E3EA6">
        <w:rPr>
          <w:rFonts w:ascii="Times New Roman" w:hAnsi="Times New Roman" w:cs="Times New Roman"/>
          <w:sz w:val="20"/>
          <w:szCs w:val="20"/>
        </w:rPr>
        <w:t xml:space="preserve"> (2003)</w:t>
      </w:r>
      <w:r w:rsidRPr="00DF128A">
        <w:rPr>
          <w:rFonts w:ascii="Times New Roman" w:hAnsi="Times New Roman" w:cs="Times New Roman"/>
          <w:sz w:val="20"/>
          <w:szCs w:val="20"/>
        </w:rPr>
        <w:t xml:space="preserve">: </w:t>
      </w:r>
      <w:r w:rsidRPr="00DF128A">
        <w:rPr>
          <w:rFonts w:ascii="Times New Roman" w:hAnsi="Times New Roman" w:cs="Times New Roman"/>
          <w:i/>
          <w:iCs/>
          <w:sz w:val="20"/>
          <w:szCs w:val="20"/>
        </w:rPr>
        <w:t>Světové a regionální finanční instituce</w:t>
      </w:r>
      <w:r w:rsidRPr="00DF128A">
        <w:rPr>
          <w:rFonts w:ascii="Times New Roman" w:hAnsi="Times New Roman" w:cs="Times New Roman"/>
          <w:sz w:val="20"/>
          <w:szCs w:val="20"/>
        </w:rPr>
        <w:t xml:space="preserve">. </w:t>
      </w:r>
      <w:r w:rsidR="009E3EA6">
        <w:rPr>
          <w:rFonts w:ascii="Times New Roman" w:hAnsi="Times New Roman" w:cs="Times New Roman"/>
          <w:sz w:val="20"/>
          <w:szCs w:val="20"/>
        </w:rPr>
        <w:t xml:space="preserve">Praha: </w:t>
      </w:r>
      <w:r w:rsidRPr="00DF128A">
        <w:rPr>
          <w:rFonts w:ascii="Times New Roman" w:hAnsi="Times New Roman" w:cs="Times New Roman"/>
          <w:sz w:val="20"/>
          <w:szCs w:val="20"/>
        </w:rPr>
        <w:t>Professional Publishing. 156 s.</w:t>
      </w:r>
    </w:p>
    <w:p w:rsidR="00DF128A" w:rsidRPr="00DF128A" w:rsidRDefault="00DF128A" w:rsidP="00DF128A">
      <w:pPr>
        <w:widowControl w:val="0"/>
        <w:spacing w:after="120" w:line="276" w:lineRule="auto"/>
        <w:jc w:val="both"/>
        <w:rPr>
          <w:rFonts w:ascii="Times New Roman" w:hAnsi="Times New Roman" w:cs="Times New Roman"/>
          <w:sz w:val="20"/>
          <w:szCs w:val="20"/>
        </w:rPr>
      </w:pPr>
      <w:r w:rsidRPr="00DF128A">
        <w:rPr>
          <w:rFonts w:ascii="Times New Roman" w:hAnsi="Times New Roman" w:cs="Times New Roman"/>
          <w:sz w:val="20"/>
          <w:szCs w:val="20"/>
        </w:rPr>
        <w:t>M</w:t>
      </w:r>
      <w:r w:rsidR="009E3EA6">
        <w:rPr>
          <w:rFonts w:ascii="Times New Roman" w:hAnsi="Times New Roman" w:cs="Times New Roman"/>
          <w:sz w:val="20"/>
          <w:szCs w:val="20"/>
        </w:rPr>
        <w:t>arková</w:t>
      </w:r>
      <w:r w:rsidRPr="00DF128A">
        <w:rPr>
          <w:rFonts w:ascii="Times New Roman" w:hAnsi="Times New Roman" w:cs="Times New Roman"/>
          <w:sz w:val="20"/>
          <w:szCs w:val="20"/>
        </w:rPr>
        <w:t>, J.</w:t>
      </w:r>
      <w:r w:rsidR="009E3EA6">
        <w:rPr>
          <w:rFonts w:ascii="Times New Roman" w:hAnsi="Times New Roman" w:cs="Times New Roman"/>
          <w:sz w:val="20"/>
          <w:szCs w:val="20"/>
        </w:rPr>
        <w:t xml:space="preserve"> (2002)</w:t>
      </w:r>
      <w:r w:rsidRPr="00DF128A">
        <w:rPr>
          <w:rFonts w:ascii="Times New Roman" w:hAnsi="Times New Roman" w:cs="Times New Roman"/>
          <w:sz w:val="20"/>
          <w:szCs w:val="20"/>
        </w:rPr>
        <w:t xml:space="preserve">: </w:t>
      </w:r>
      <w:r w:rsidRPr="00DF128A">
        <w:rPr>
          <w:rFonts w:ascii="Times New Roman" w:hAnsi="Times New Roman" w:cs="Times New Roman"/>
          <w:i/>
          <w:iCs/>
          <w:sz w:val="20"/>
          <w:szCs w:val="20"/>
        </w:rPr>
        <w:t>Mezinárodní měnové instituce</w:t>
      </w:r>
      <w:r w:rsidRPr="00DF128A">
        <w:rPr>
          <w:rFonts w:ascii="Times New Roman" w:hAnsi="Times New Roman" w:cs="Times New Roman"/>
          <w:sz w:val="20"/>
          <w:szCs w:val="20"/>
        </w:rPr>
        <w:t xml:space="preserve">. </w:t>
      </w:r>
      <w:r w:rsidR="009E3EA6">
        <w:rPr>
          <w:rFonts w:ascii="Times New Roman" w:hAnsi="Times New Roman" w:cs="Times New Roman"/>
          <w:sz w:val="20"/>
          <w:szCs w:val="20"/>
        </w:rPr>
        <w:t xml:space="preserve">Praha: </w:t>
      </w:r>
      <w:r w:rsidRPr="00DF128A">
        <w:rPr>
          <w:rFonts w:ascii="Times New Roman" w:hAnsi="Times New Roman" w:cs="Times New Roman"/>
          <w:sz w:val="20"/>
          <w:szCs w:val="20"/>
        </w:rPr>
        <w:t>Oeconomica. 251 s.</w:t>
      </w:r>
    </w:p>
    <w:p w:rsidR="00DF128A" w:rsidRPr="00DF128A" w:rsidRDefault="00DF128A" w:rsidP="00DF128A">
      <w:pPr>
        <w:widowControl w:val="0"/>
        <w:spacing w:after="120" w:line="276" w:lineRule="auto"/>
        <w:jc w:val="both"/>
        <w:rPr>
          <w:rFonts w:ascii="Times New Roman" w:hAnsi="Times New Roman" w:cs="Times New Roman"/>
          <w:sz w:val="20"/>
          <w:szCs w:val="20"/>
        </w:rPr>
      </w:pPr>
      <w:r w:rsidRPr="00DF128A">
        <w:rPr>
          <w:rFonts w:ascii="Times New Roman" w:hAnsi="Times New Roman" w:cs="Times New Roman"/>
          <w:sz w:val="20"/>
          <w:szCs w:val="20"/>
        </w:rPr>
        <w:t>P</w:t>
      </w:r>
      <w:r w:rsidR="006C4916">
        <w:rPr>
          <w:rFonts w:ascii="Times New Roman" w:hAnsi="Times New Roman" w:cs="Times New Roman"/>
          <w:sz w:val="20"/>
          <w:szCs w:val="20"/>
        </w:rPr>
        <w:t>rokopcová</w:t>
      </w:r>
      <w:r w:rsidRPr="00DF128A">
        <w:rPr>
          <w:rFonts w:ascii="Times New Roman" w:hAnsi="Times New Roman" w:cs="Times New Roman"/>
          <w:sz w:val="20"/>
          <w:szCs w:val="20"/>
        </w:rPr>
        <w:t>, L.</w:t>
      </w:r>
      <w:r w:rsidR="006C4916">
        <w:rPr>
          <w:rFonts w:ascii="Times New Roman" w:hAnsi="Times New Roman" w:cs="Times New Roman"/>
          <w:sz w:val="20"/>
          <w:szCs w:val="20"/>
        </w:rPr>
        <w:t xml:space="preserve"> (2008)</w:t>
      </w:r>
      <w:r w:rsidRPr="00DF128A">
        <w:rPr>
          <w:rFonts w:ascii="Times New Roman" w:hAnsi="Times New Roman" w:cs="Times New Roman"/>
          <w:sz w:val="20"/>
          <w:szCs w:val="20"/>
        </w:rPr>
        <w:t xml:space="preserve">: </w:t>
      </w:r>
      <w:r w:rsidRPr="00DF128A">
        <w:rPr>
          <w:rFonts w:ascii="Times New Roman" w:hAnsi="Times New Roman" w:cs="Times New Roman"/>
          <w:i/>
          <w:iCs/>
          <w:sz w:val="20"/>
          <w:szCs w:val="20"/>
        </w:rPr>
        <w:t>Mezinárodní měnový fond v současnosti</w:t>
      </w:r>
      <w:r w:rsidRPr="00DF128A">
        <w:rPr>
          <w:rFonts w:ascii="Times New Roman" w:hAnsi="Times New Roman" w:cs="Times New Roman"/>
          <w:sz w:val="20"/>
          <w:szCs w:val="20"/>
        </w:rPr>
        <w:t xml:space="preserve">. (Bakalářská práce). </w:t>
      </w:r>
      <w:r w:rsidR="006C4916">
        <w:rPr>
          <w:rFonts w:ascii="Times New Roman" w:hAnsi="Times New Roman" w:cs="Times New Roman"/>
          <w:sz w:val="20"/>
          <w:szCs w:val="20"/>
        </w:rPr>
        <w:t xml:space="preserve">Brno: </w:t>
      </w:r>
      <w:r w:rsidRPr="00DF128A">
        <w:rPr>
          <w:rFonts w:ascii="Times New Roman" w:hAnsi="Times New Roman" w:cs="Times New Roman"/>
          <w:sz w:val="20"/>
          <w:szCs w:val="20"/>
        </w:rPr>
        <w:t>Masarykova univerzita. 40 s.</w:t>
      </w:r>
    </w:p>
    <w:p w:rsidR="009E3EA6" w:rsidRDefault="00DF128A" w:rsidP="009E3EA6">
      <w:pPr>
        <w:widowControl w:val="0"/>
        <w:spacing w:after="120" w:line="276" w:lineRule="auto"/>
        <w:jc w:val="both"/>
        <w:rPr>
          <w:rFonts w:ascii="Times New Roman" w:hAnsi="Times New Roman" w:cs="Times New Roman"/>
          <w:sz w:val="20"/>
          <w:szCs w:val="20"/>
        </w:rPr>
      </w:pPr>
      <w:r w:rsidRPr="00DF128A">
        <w:rPr>
          <w:rFonts w:ascii="Times New Roman" w:hAnsi="Times New Roman" w:cs="Times New Roman"/>
          <w:sz w:val="20"/>
          <w:szCs w:val="20"/>
        </w:rPr>
        <w:t>S</w:t>
      </w:r>
      <w:r w:rsidR="009E3EA6">
        <w:rPr>
          <w:rFonts w:ascii="Times New Roman" w:hAnsi="Times New Roman" w:cs="Times New Roman"/>
          <w:sz w:val="20"/>
          <w:szCs w:val="20"/>
        </w:rPr>
        <w:t>tiglitz</w:t>
      </w:r>
      <w:r w:rsidRPr="00DF128A">
        <w:rPr>
          <w:rFonts w:ascii="Times New Roman" w:hAnsi="Times New Roman" w:cs="Times New Roman"/>
          <w:sz w:val="20"/>
          <w:szCs w:val="20"/>
        </w:rPr>
        <w:t>, J. E.</w:t>
      </w:r>
      <w:r w:rsidR="009E3EA6">
        <w:rPr>
          <w:rFonts w:ascii="Times New Roman" w:hAnsi="Times New Roman" w:cs="Times New Roman"/>
          <w:sz w:val="20"/>
          <w:szCs w:val="20"/>
        </w:rPr>
        <w:t xml:space="preserve"> (2003)</w:t>
      </w:r>
      <w:r w:rsidRPr="00DF128A">
        <w:rPr>
          <w:rFonts w:ascii="Times New Roman" w:hAnsi="Times New Roman" w:cs="Times New Roman"/>
          <w:sz w:val="20"/>
          <w:szCs w:val="20"/>
        </w:rPr>
        <w:t xml:space="preserve">: </w:t>
      </w:r>
      <w:r w:rsidRPr="00DF128A">
        <w:rPr>
          <w:rFonts w:ascii="Times New Roman" w:hAnsi="Times New Roman" w:cs="Times New Roman"/>
          <w:i/>
          <w:iCs/>
          <w:sz w:val="20"/>
          <w:szCs w:val="20"/>
        </w:rPr>
        <w:t>Jiná cesta k trhu: Hledání alternativy k současné podobě globalizace</w:t>
      </w:r>
      <w:r w:rsidRPr="00DF128A">
        <w:rPr>
          <w:rFonts w:ascii="Times New Roman" w:hAnsi="Times New Roman" w:cs="Times New Roman"/>
          <w:sz w:val="20"/>
          <w:szCs w:val="20"/>
        </w:rPr>
        <w:t xml:space="preserve">. </w:t>
      </w:r>
      <w:r w:rsidR="009E3EA6">
        <w:rPr>
          <w:rFonts w:ascii="Times New Roman" w:hAnsi="Times New Roman" w:cs="Times New Roman"/>
          <w:sz w:val="20"/>
          <w:szCs w:val="20"/>
        </w:rPr>
        <w:t xml:space="preserve">Praha: </w:t>
      </w:r>
      <w:r w:rsidRPr="00DF128A">
        <w:rPr>
          <w:rFonts w:ascii="Times New Roman" w:hAnsi="Times New Roman" w:cs="Times New Roman"/>
          <w:sz w:val="20"/>
          <w:szCs w:val="20"/>
        </w:rPr>
        <w:t>PROSTOR. 403 s.</w:t>
      </w:r>
    </w:p>
    <w:p w:rsidR="009E3EA6" w:rsidRPr="00DF128A" w:rsidRDefault="009E3EA6" w:rsidP="009E3EA6">
      <w:pPr>
        <w:widowControl w:val="0"/>
        <w:spacing w:after="120" w:line="276" w:lineRule="auto"/>
        <w:jc w:val="both"/>
        <w:rPr>
          <w:rFonts w:ascii="Times New Roman" w:hAnsi="Times New Roman" w:cs="Times New Roman"/>
          <w:sz w:val="24"/>
          <w:szCs w:val="24"/>
        </w:rPr>
      </w:pPr>
      <w:r w:rsidRPr="00DF128A">
        <w:rPr>
          <w:rFonts w:ascii="Times New Roman" w:hAnsi="Times New Roman" w:cs="Times New Roman"/>
          <w:sz w:val="20"/>
          <w:szCs w:val="20"/>
        </w:rPr>
        <w:t>Z</w:t>
      </w:r>
      <w:r>
        <w:rPr>
          <w:rFonts w:ascii="Times New Roman" w:hAnsi="Times New Roman" w:cs="Times New Roman"/>
          <w:sz w:val="20"/>
          <w:szCs w:val="20"/>
        </w:rPr>
        <w:t>apletal</w:t>
      </w:r>
      <w:r w:rsidRPr="00DF128A">
        <w:rPr>
          <w:rFonts w:ascii="Times New Roman" w:hAnsi="Times New Roman" w:cs="Times New Roman"/>
          <w:sz w:val="20"/>
          <w:szCs w:val="20"/>
        </w:rPr>
        <w:t>, P.</w:t>
      </w:r>
      <w:r>
        <w:rPr>
          <w:rFonts w:ascii="Times New Roman" w:hAnsi="Times New Roman" w:cs="Times New Roman"/>
          <w:sz w:val="20"/>
          <w:szCs w:val="20"/>
        </w:rPr>
        <w:t xml:space="preserve"> (2007)</w:t>
      </w:r>
      <w:r w:rsidRPr="00DF128A">
        <w:rPr>
          <w:rFonts w:ascii="Times New Roman" w:hAnsi="Times New Roman" w:cs="Times New Roman"/>
          <w:sz w:val="20"/>
          <w:szCs w:val="20"/>
        </w:rPr>
        <w:t xml:space="preserve">: </w:t>
      </w:r>
      <w:r w:rsidRPr="00DF128A">
        <w:rPr>
          <w:rFonts w:ascii="Times New Roman" w:hAnsi="Times New Roman" w:cs="Times New Roman"/>
          <w:i/>
          <w:iCs/>
          <w:sz w:val="20"/>
          <w:szCs w:val="20"/>
        </w:rPr>
        <w:t>Brettonwoodské instituce – historie, současnost a perspektivy</w:t>
      </w:r>
      <w:r w:rsidRPr="00DF128A">
        <w:rPr>
          <w:rFonts w:ascii="Times New Roman" w:hAnsi="Times New Roman" w:cs="Times New Roman"/>
          <w:sz w:val="20"/>
          <w:szCs w:val="20"/>
        </w:rPr>
        <w:t>. (Bakalářská práce). Brno</w:t>
      </w:r>
      <w:r>
        <w:rPr>
          <w:rFonts w:ascii="Times New Roman" w:hAnsi="Times New Roman" w:cs="Times New Roman"/>
          <w:sz w:val="20"/>
          <w:szCs w:val="20"/>
        </w:rPr>
        <w:t>:</w:t>
      </w:r>
      <w:r w:rsidRPr="00DF128A">
        <w:rPr>
          <w:rFonts w:ascii="Times New Roman" w:hAnsi="Times New Roman" w:cs="Times New Roman"/>
          <w:sz w:val="20"/>
          <w:szCs w:val="20"/>
        </w:rPr>
        <w:t xml:space="preserve"> Masarykova univerzita. 42 s.</w:t>
      </w:r>
    </w:p>
    <w:p w:rsidR="009E3EA6" w:rsidRPr="00DF128A" w:rsidRDefault="009E3EA6" w:rsidP="009E3EA6">
      <w:pPr>
        <w:widowControl w:val="0"/>
        <w:spacing w:after="120" w:line="276" w:lineRule="auto"/>
        <w:jc w:val="both"/>
        <w:rPr>
          <w:rFonts w:ascii="Times New Roman" w:hAnsi="Times New Roman" w:cs="Times New Roman"/>
          <w:sz w:val="20"/>
          <w:szCs w:val="20"/>
        </w:rPr>
      </w:pPr>
      <w:r w:rsidRPr="00DF128A">
        <w:rPr>
          <w:rFonts w:ascii="Times New Roman" w:hAnsi="Times New Roman" w:cs="Times New Roman"/>
          <w:i/>
          <w:iCs/>
          <w:sz w:val="20"/>
          <w:szCs w:val="20"/>
        </w:rPr>
        <w:t>IMF Members' Quotas and Voting Power, and IMF Board of Governors</w:t>
      </w:r>
      <w:r w:rsidRPr="00DF128A">
        <w:rPr>
          <w:rFonts w:ascii="Times New Roman" w:hAnsi="Times New Roman" w:cs="Times New Roman"/>
          <w:sz w:val="20"/>
          <w:szCs w:val="20"/>
        </w:rPr>
        <w:t xml:space="preserve">. IMF, 2010. </w:t>
      </w:r>
      <w:r w:rsidR="00B533A7" w:rsidRPr="00DF128A">
        <w:rPr>
          <w:rFonts w:ascii="Times New Roman" w:hAnsi="Times New Roman" w:cs="Times New Roman"/>
          <w:sz w:val="20"/>
          <w:szCs w:val="20"/>
        </w:rPr>
        <w:t xml:space="preserve">Dostupné </w:t>
      </w:r>
      <w:r w:rsidR="00B533A7">
        <w:rPr>
          <w:rFonts w:ascii="Times New Roman" w:hAnsi="Times New Roman" w:cs="Times New Roman"/>
          <w:sz w:val="20"/>
          <w:szCs w:val="20"/>
        </w:rPr>
        <w:t>online</w:t>
      </w:r>
      <w:r w:rsidRPr="00DF128A">
        <w:rPr>
          <w:rFonts w:ascii="Times New Roman" w:hAnsi="Times New Roman" w:cs="Times New Roman"/>
          <w:sz w:val="20"/>
          <w:szCs w:val="20"/>
        </w:rPr>
        <w:t>: &lt;http://www.imf.org/external/np/sec/memdir/members.htm&gt;.</w:t>
      </w:r>
      <w:r w:rsidR="00B533A7" w:rsidRPr="00DF128A">
        <w:rPr>
          <w:rFonts w:ascii="Times New Roman" w:hAnsi="Times New Roman" w:cs="Times New Roman"/>
          <w:sz w:val="20"/>
          <w:szCs w:val="20"/>
        </w:rPr>
        <w:t>[cit. 2</w:t>
      </w:r>
      <w:r w:rsidR="00B533A7">
        <w:rPr>
          <w:rFonts w:ascii="Times New Roman" w:hAnsi="Times New Roman" w:cs="Times New Roman"/>
          <w:sz w:val="20"/>
          <w:szCs w:val="20"/>
        </w:rPr>
        <w:t>0</w:t>
      </w:r>
      <w:r w:rsidR="00B533A7" w:rsidRPr="00DF128A">
        <w:rPr>
          <w:rFonts w:ascii="Times New Roman" w:hAnsi="Times New Roman" w:cs="Times New Roman"/>
          <w:sz w:val="20"/>
          <w:szCs w:val="20"/>
        </w:rPr>
        <w:t xml:space="preserve">. </w:t>
      </w:r>
      <w:r w:rsidR="00B533A7">
        <w:rPr>
          <w:rFonts w:ascii="Times New Roman" w:hAnsi="Times New Roman" w:cs="Times New Roman"/>
          <w:sz w:val="20"/>
          <w:szCs w:val="20"/>
        </w:rPr>
        <w:t>července</w:t>
      </w:r>
      <w:r w:rsidR="00B533A7" w:rsidRPr="00DF128A">
        <w:rPr>
          <w:rFonts w:ascii="Times New Roman" w:hAnsi="Times New Roman" w:cs="Times New Roman"/>
          <w:sz w:val="20"/>
          <w:szCs w:val="20"/>
        </w:rPr>
        <w:t xml:space="preserve"> 201</w:t>
      </w:r>
      <w:r w:rsidR="00B533A7">
        <w:rPr>
          <w:rFonts w:ascii="Times New Roman" w:hAnsi="Times New Roman" w:cs="Times New Roman"/>
          <w:sz w:val="20"/>
          <w:szCs w:val="20"/>
        </w:rPr>
        <w:t>1</w:t>
      </w:r>
      <w:r w:rsidR="00B533A7" w:rsidRPr="00DF128A">
        <w:rPr>
          <w:rFonts w:ascii="Times New Roman" w:hAnsi="Times New Roman" w:cs="Times New Roman"/>
          <w:sz w:val="20"/>
          <w:szCs w:val="20"/>
        </w:rPr>
        <w:t>].</w:t>
      </w:r>
    </w:p>
    <w:p w:rsidR="00DF128A" w:rsidRPr="00DF128A" w:rsidRDefault="00DF128A" w:rsidP="00DF128A">
      <w:pPr>
        <w:widowControl w:val="0"/>
        <w:spacing w:after="120" w:line="276" w:lineRule="auto"/>
        <w:jc w:val="both"/>
        <w:rPr>
          <w:rFonts w:ascii="Times New Roman" w:hAnsi="Times New Roman" w:cs="Times New Roman"/>
          <w:sz w:val="20"/>
          <w:szCs w:val="20"/>
        </w:rPr>
      </w:pPr>
      <w:r w:rsidRPr="00DF128A">
        <w:rPr>
          <w:rFonts w:ascii="Times New Roman" w:hAnsi="Times New Roman" w:cs="Times New Roman"/>
          <w:i/>
          <w:iCs/>
          <w:sz w:val="20"/>
          <w:szCs w:val="20"/>
        </w:rPr>
        <w:t xml:space="preserve">The IMF and the G20: Time for a rethink? </w:t>
      </w:r>
      <w:r w:rsidRPr="00DF128A">
        <w:rPr>
          <w:rFonts w:ascii="Times New Roman" w:hAnsi="Times New Roman" w:cs="Times New Roman"/>
          <w:sz w:val="20"/>
          <w:szCs w:val="20"/>
        </w:rPr>
        <w:t xml:space="preserve">[on-line]. Sameh El-Shahat, 2009. </w:t>
      </w:r>
      <w:r w:rsidR="006C4916" w:rsidRPr="00DF128A">
        <w:rPr>
          <w:rFonts w:ascii="Times New Roman" w:hAnsi="Times New Roman" w:cs="Times New Roman"/>
          <w:sz w:val="20"/>
          <w:szCs w:val="20"/>
        </w:rPr>
        <w:t>[cit. 2</w:t>
      </w:r>
      <w:r w:rsidR="006C4916">
        <w:rPr>
          <w:rFonts w:ascii="Times New Roman" w:hAnsi="Times New Roman" w:cs="Times New Roman"/>
          <w:sz w:val="20"/>
          <w:szCs w:val="20"/>
        </w:rPr>
        <w:t>0</w:t>
      </w:r>
      <w:r w:rsidR="006C4916" w:rsidRPr="00DF128A">
        <w:rPr>
          <w:rFonts w:ascii="Times New Roman" w:hAnsi="Times New Roman" w:cs="Times New Roman"/>
          <w:sz w:val="20"/>
          <w:szCs w:val="20"/>
        </w:rPr>
        <w:t xml:space="preserve">. </w:t>
      </w:r>
      <w:r w:rsidR="006C4916">
        <w:rPr>
          <w:rFonts w:ascii="Times New Roman" w:hAnsi="Times New Roman" w:cs="Times New Roman"/>
          <w:sz w:val="20"/>
          <w:szCs w:val="20"/>
        </w:rPr>
        <w:t>července</w:t>
      </w:r>
      <w:r w:rsidR="006C4916" w:rsidRPr="00DF128A">
        <w:rPr>
          <w:rFonts w:ascii="Times New Roman" w:hAnsi="Times New Roman" w:cs="Times New Roman"/>
          <w:sz w:val="20"/>
          <w:szCs w:val="20"/>
        </w:rPr>
        <w:t xml:space="preserve"> 201</w:t>
      </w:r>
      <w:r w:rsidR="006C4916">
        <w:rPr>
          <w:rFonts w:ascii="Times New Roman" w:hAnsi="Times New Roman" w:cs="Times New Roman"/>
          <w:sz w:val="20"/>
          <w:szCs w:val="20"/>
        </w:rPr>
        <w:t>1</w:t>
      </w:r>
      <w:r w:rsidR="006C4916" w:rsidRPr="00DF128A">
        <w:rPr>
          <w:rFonts w:ascii="Times New Roman" w:hAnsi="Times New Roman" w:cs="Times New Roman"/>
          <w:sz w:val="20"/>
          <w:szCs w:val="20"/>
        </w:rPr>
        <w:t>]</w:t>
      </w:r>
      <w:r w:rsidRPr="00DF128A">
        <w:rPr>
          <w:rFonts w:ascii="Times New Roman" w:hAnsi="Times New Roman" w:cs="Times New Roman"/>
          <w:sz w:val="20"/>
          <w:szCs w:val="20"/>
        </w:rPr>
        <w:t>. Dostupné z WWW: &lt; http://www.holycows.info/blog/?p=443&gt;.</w:t>
      </w:r>
    </w:p>
    <w:p w:rsidR="009E3EA6" w:rsidRPr="00DF128A" w:rsidRDefault="009E3EA6" w:rsidP="009E3EA6">
      <w:pPr>
        <w:widowControl w:val="0"/>
        <w:spacing w:after="120" w:line="276" w:lineRule="auto"/>
        <w:jc w:val="both"/>
        <w:rPr>
          <w:rFonts w:ascii="Times New Roman" w:hAnsi="Times New Roman" w:cs="Times New Roman"/>
          <w:sz w:val="20"/>
          <w:szCs w:val="20"/>
        </w:rPr>
      </w:pPr>
      <w:r w:rsidRPr="00DF128A">
        <w:rPr>
          <w:rFonts w:ascii="Times New Roman" w:hAnsi="Times New Roman" w:cs="Times New Roman"/>
          <w:i/>
          <w:iCs/>
          <w:sz w:val="20"/>
          <w:szCs w:val="20"/>
        </w:rPr>
        <w:t>Ministerstvo financí České republiky: Mezinárodní měnový fond</w:t>
      </w:r>
      <w:r w:rsidRPr="00DF128A">
        <w:rPr>
          <w:rFonts w:ascii="Times New Roman" w:hAnsi="Times New Roman" w:cs="Times New Roman"/>
          <w:sz w:val="20"/>
          <w:szCs w:val="20"/>
        </w:rPr>
        <w:t xml:space="preserve">. </w:t>
      </w:r>
      <w:r w:rsidR="006C4916" w:rsidRPr="006C4916">
        <w:rPr>
          <w:rFonts w:ascii="Times New Roman" w:hAnsi="Times New Roman" w:cs="Times New Roman"/>
          <w:iCs/>
          <w:sz w:val="20"/>
          <w:szCs w:val="20"/>
        </w:rPr>
        <w:t>Ministerstvo financí České republiky</w:t>
      </w:r>
      <w:r w:rsidRPr="00DF128A">
        <w:rPr>
          <w:rFonts w:ascii="Times New Roman" w:hAnsi="Times New Roman" w:cs="Times New Roman"/>
          <w:sz w:val="20"/>
          <w:szCs w:val="20"/>
        </w:rPr>
        <w:t xml:space="preserve">, 2005. Dostupné </w:t>
      </w:r>
      <w:r w:rsidR="00B533A7">
        <w:rPr>
          <w:rFonts w:ascii="Times New Roman" w:hAnsi="Times New Roman" w:cs="Times New Roman"/>
          <w:sz w:val="20"/>
          <w:szCs w:val="20"/>
        </w:rPr>
        <w:t>online</w:t>
      </w:r>
      <w:r w:rsidRPr="00DF128A">
        <w:rPr>
          <w:rFonts w:ascii="Times New Roman" w:hAnsi="Times New Roman" w:cs="Times New Roman"/>
          <w:sz w:val="20"/>
          <w:szCs w:val="20"/>
        </w:rPr>
        <w:t>: &lt;http://www.mfcr.cz/cps/rde/xchg/mfcr/xsl/mfo_imf.html&gt;.</w:t>
      </w:r>
      <w:r w:rsidR="00856A27" w:rsidRPr="00DF128A">
        <w:rPr>
          <w:rFonts w:ascii="Times New Roman" w:hAnsi="Times New Roman" w:cs="Times New Roman"/>
          <w:sz w:val="20"/>
          <w:szCs w:val="20"/>
        </w:rPr>
        <w:t>[cit. 2</w:t>
      </w:r>
      <w:r w:rsidR="00856A27">
        <w:rPr>
          <w:rFonts w:ascii="Times New Roman" w:hAnsi="Times New Roman" w:cs="Times New Roman"/>
          <w:sz w:val="20"/>
          <w:szCs w:val="20"/>
        </w:rPr>
        <w:t>0</w:t>
      </w:r>
      <w:r w:rsidR="00856A27" w:rsidRPr="00DF128A">
        <w:rPr>
          <w:rFonts w:ascii="Times New Roman" w:hAnsi="Times New Roman" w:cs="Times New Roman"/>
          <w:sz w:val="20"/>
          <w:szCs w:val="20"/>
        </w:rPr>
        <w:t xml:space="preserve">. </w:t>
      </w:r>
      <w:r w:rsidR="00856A27">
        <w:rPr>
          <w:rFonts w:ascii="Times New Roman" w:hAnsi="Times New Roman" w:cs="Times New Roman"/>
          <w:sz w:val="20"/>
          <w:szCs w:val="20"/>
        </w:rPr>
        <w:t>července</w:t>
      </w:r>
      <w:r w:rsidR="00856A27" w:rsidRPr="00DF128A">
        <w:rPr>
          <w:rFonts w:ascii="Times New Roman" w:hAnsi="Times New Roman" w:cs="Times New Roman"/>
          <w:sz w:val="20"/>
          <w:szCs w:val="20"/>
        </w:rPr>
        <w:t xml:space="preserve"> 201</w:t>
      </w:r>
      <w:r w:rsidR="00856A27">
        <w:rPr>
          <w:rFonts w:ascii="Times New Roman" w:hAnsi="Times New Roman" w:cs="Times New Roman"/>
          <w:sz w:val="20"/>
          <w:szCs w:val="20"/>
        </w:rPr>
        <w:t>1</w:t>
      </w:r>
      <w:r w:rsidR="00856A27" w:rsidRPr="00DF128A">
        <w:rPr>
          <w:rFonts w:ascii="Times New Roman" w:hAnsi="Times New Roman" w:cs="Times New Roman"/>
          <w:sz w:val="20"/>
          <w:szCs w:val="20"/>
        </w:rPr>
        <w:t xml:space="preserve">]. </w:t>
      </w:r>
      <w:r w:rsidRPr="00DF128A">
        <w:rPr>
          <w:rFonts w:ascii="Times New Roman" w:hAnsi="Times New Roman" w:cs="Times New Roman"/>
          <w:sz w:val="20"/>
          <w:szCs w:val="20"/>
        </w:rPr>
        <w:t xml:space="preserve">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br w:type="page"/>
      </w:r>
    </w:p>
    <w:p w:rsidR="00DF128A" w:rsidRPr="00DF128A" w:rsidRDefault="00DF128A" w:rsidP="009B5078">
      <w:pPr>
        <w:pStyle w:val="Nadpis1"/>
        <w:ind w:firstLine="0"/>
      </w:pPr>
      <w:bookmarkStart w:id="11" w:name="_Toc331023956"/>
      <w:r w:rsidRPr="00DF128A">
        <w:lastRenderedPageBreak/>
        <w:t>L</w:t>
      </w:r>
      <w:r w:rsidR="00EE0CF5">
        <w:t>OKALIZAČNÍ FAKTORY PŘÍMÝCH ZAHRANIČNÍCH INVESTIC A JEJICH CHARAKTER V BRNĚ A OKOLÍ</w:t>
      </w:r>
      <w:bookmarkEnd w:id="11"/>
    </w:p>
    <w:p w:rsidR="00EE0CF5" w:rsidRDefault="00EE0CF5" w:rsidP="00EE0CF5">
      <w:pPr>
        <w:widowControl w:val="0"/>
        <w:spacing w:line="276" w:lineRule="auto"/>
        <w:jc w:val="center"/>
        <w:rPr>
          <w:rFonts w:ascii="Times New Roman" w:hAnsi="Times New Roman" w:cs="Times New Roman"/>
          <w:sz w:val="24"/>
          <w:szCs w:val="24"/>
        </w:rPr>
      </w:pPr>
    </w:p>
    <w:p w:rsidR="00EE0CF5" w:rsidRPr="00EE0CF5" w:rsidRDefault="00EE0CF5" w:rsidP="00EE0CF5">
      <w:pPr>
        <w:widowControl w:val="0"/>
        <w:spacing w:line="276" w:lineRule="auto"/>
        <w:jc w:val="center"/>
        <w:rPr>
          <w:rFonts w:ascii="Times New Roman" w:hAnsi="Times New Roman" w:cs="Times New Roman"/>
          <w:i/>
          <w:sz w:val="24"/>
          <w:szCs w:val="24"/>
        </w:rPr>
      </w:pPr>
      <w:r w:rsidRPr="00EE0CF5">
        <w:rPr>
          <w:rFonts w:ascii="Times New Roman" w:hAnsi="Times New Roman" w:cs="Times New Roman"/>
          <w:i/>
          <w:sz w:val="24"/>
          <w:szCs w:val="24"/>
        </w:rPr>
        <w:t>Martin Foral</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EE0CF5">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 xml:space="preserve">Úvod </w:t>
      </w:r>
    </w:p>
    <w:p w:rsidR="00DF128A" w:rsidRDefault="007A1BA1" w:rsidP="00DF128A">
      <w:pPr>
        <w:widowControl w:val="0"/>
        <w:spacing w:line="276"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Cílem příspěvku </w:t>
      </w:r>
      <w:r w:rsidR="00DF128A" w:rsidRPr="00DF128A">
        <w:rPr>
          <w:rFonts w:ascii="Times New Roman" w:hAnsi="Times New Roman" w:cs="Times New Roman"/>
          <w:sz w:val="24"/>
          <w:szCs w:val="24"/>
        </w:rPr>
        <w:t xml:space="preserve">je vytvořit stručný přehled příchozích zahraničních investic do Brna a jeho zázemí. </w:t>
      </w:r>
      <w:r>
        <w:rPr>
          <w:rFonts w:ascii="Times New Roman" w:hAnsi="Times New Roman" w:cs="Times New Roman"/>
          <w:sz w:val="24"/>
          <w:szCs w:val="24"/>
        </w:rPr>
        <w:t>Text je z</w:t>
      </w:r>
      <w:r w:rsidR="00DF128A" w:rsidRPr="00DF128A">
        <w:rPr>
          <w:rFonts w:ascii="Times New Roman" w:hAnsi="Times New Roman" w:cs="Times New Roman"/>
          <w:sz w:val="24"/>
          <w:szCs w:val="24"/>
        </w:rPr>
        <w:t>aměř</w:t>
      </w:r>
      <w:r>
        <w:rPr>
          <w:rFonts w:ascii="Times New Roman" w:hAnsi="Times New Roman" w:cs="Times New Roman"/>
          <w:sz w:val="24"/>
          <w:szCs w:val="24"/>
        </w:rPr>
        <w:t>en</w:t>
      </w:r>
      <w:r w:rsidR="00DF128A" w:rsidRPr="00DF128A">
        <w:rPr>
          <w:rFonts w:ascii="Times New Roman" w:hAnsi="Times New Roman" w:cs="Times New Roman"/>
          <w:sz w:val="24"/>
          <w:szCs w:val="24"/>
        </w:rPr>
        <w:t xml:space="preserve"> především na investice směřující na tzv. zelené louky. Součástí práce je přehledná tabulka investic od roku 2001 do roku 2005</w:t>
      </w:r>
      <w:r>
        <w:rPr>
          <w:rFonts w:ascii="Times New Roman" w:hAnsi="Times New Roman" w:cs="Times New Roman"/>
          <w:sz w:val="24"/>
          <w:szCs w:val="24"/>
        </w:rPr>
        <w:t xml:space="preserve"> a</w:t>
      </w:r>
      <w:r w:rsidR="00DF128A" w:rsidRPr="00DF128A">
        <w:rPr>
          <w:rFonts w:ascii="Times New Roman" w:hAnsi="Times New Roman" w:cs="Times New Roman"/>
          <w:sz w:val="24"/>
          <w:szCs w:val="24"/>
        </w:rPr>
        <w:t xml:space="preserve"> přehled nájemců jednotlivých průmyslových zón k roku 2007.</w:t>
      </w:r>
      <w:r>
        <w:rPr>
          <w:rFonts w:ascii="Times New Roman" w:hAnsi="Times New Roman" w:cs="Times New Roman"/>
          <w:sz w:val="24"/>
          <w:szCs w:val="24"/>
        </w:rPr>
        <w:t xml:space="preserve"> Pozornost je věnována také</w:t>
      </w:r>
      <w:r w:rsidR="00DF128A" w:rsidRPr="00DF128A">
        <w:rPr>
          <w:rFonts w:ascii="Times New Roman" w:hAnsi="Times New Roman" w:cs="Times New Roman"/>
          <w:sz w:val="24"/>
          <w:szCs w:val="24"/>
        </w:rPr>
        <w:t xml:space="preserve"> faktor</w:t>
      </w:r>
      <w:r>
        <w:rPr>
          <w:rFonts w:ascii="Times New Roman" w:hAnsi="Times New Roman" w:cs="Times New Roman"/>
          <w:sz w:val="24"/>
          <w:szCs w:val="24"/>
        </w:rPr>
        <w:t>ům</w:t>
      </w:r>
      <w:r w:rsidR="00DF128A" w:rsidRPr="00DF128A">
        <w:rPr>
          <w:rFonts w:ascii="Times New Roman" w:hAnsi="Times New Roman" w:cs="Times New Roman"/>
          <w:sz w:val="24"/>
          <w:szCs w:val="24"/>
        </w:rPr>
        <w:t xml:space="preserve">, </w:t>
      </w:r>
      <w:r>
        <w:rPr>
          <w:rFonts w:ascii="Times New Roman" w:hAnsi="Times New Roman" w:cs="Times New Roman"/>
          <w:sz w:val="24"/>
          <w:szCs w:val="24"/>
        </w:rPr>
        <w:t xml:space="preserve">které </w:t>
      </w:r>
      <w:r w:rsidR="00DF128A" w:rsidRPr="00DF128A">
        <w:rPr>
          <w:rFonts w:ascii="Times New Roman" w:hAnsi="Times New Roman" w:cs="Times New Roman"/>
          <w:sz w:val="24"/>
          <w:szCs w:val="24"/>
        </w:rPr>
        <w:t>podněcují zájem investorů o tento region.</w:t>
      </w:r>
    </w:p>
    <w:p w:rsidR="00244EC4" w:rsidRPr="00DF128A" w:rsidRDefault="00244EC4"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Přímé zahraniční investice v sobě zahrnují celou řadu pozitiv, která nemají v dnešním světě náhradu. Mezi nejvíce ceněná pozitiva, která jsou spojena s přílivem PZI lze zařadit zejména příliv kapitálu, rozšíření nedostatečně vyvinutého domácího kapitálu sítí, přínos v oblasti technologie, rozvoj lidského kapitálu, zajištění nových exportních možností nebo také rozvoj domácích společností. Naopak mezi negativa jsou zařazována likvidace domácích firem, které představují konkurenci, nepřátelská převzetí firmy za účelem utlumit výrobu, úpadek domácích dodavatelů v situacích, kdy zahraniční investoři dovážejí materiál a polotovary z jiných zemí. Samozřejmě mohou mít PZI dopad i na růst nezaměstnanosti, v případě, kdy dochází k rozvoji kapitálově náročné výroby na úkor výroby pracovně náročné.</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EE0CF5">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Spojitost mezi globalizací a PZI</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Proces globalizace je, jak uvádí Sýkora (2000) do velké míry procesem přirozeným, nevyhnutelným a také očekávatelným, už jen z historického hlediska, neboť podobné přesuny z lokální úrovně na regionální, z regionální úrovně na národní, probíhaly už v minulosti. Obecně lze říci, že globalizace je v zásadě velmi složitý proces, při kterém dochází k rozdílnému vývoji jednotlivých zemí a regionů. Mezinárodní měnový fond (IMF) definuje globalizaci „jako rostoucí ekonomickou závislost zemí, ve světovém měřítku, v důsledku rostoucího objemu a druhu přeshraničních transakcí zboží a služeb a toku mezinárodního kapitálu, jakož i rychlejší a rozsáhlejší šíření technologií“ (IMF v Mezřícký 2003</w:t>
      </w:r>
      <w:r w:rsidR="007A1BA1">
        <w:rPr>
          <w:rFonts w:ascii="Times New Roman" w:hAnsi="Times New Roman" w:cs="Times New Roman"/>
          <w:sz w:val="24"/>
          <w:szCs w:val="24"/>
        </w:rPr>
        <w:t>:</w:t>
      </w:r>
      <w:r w:rsidRPr="00DF128A">
        <w:rPr>
          <w:rFonts w:ascii="Times New Roman" w:hAnsi="Times New Roman" w:cs="Times New Roman"/>
          <w:sz w:val="24"/>
          <w:szCs w:val="24"/>
        </w:rPr>
        <w:t xml:space="preserve"> 10). Tato charakteristika je řečena v podstatě z hlediska ekonomického. Ovšem globalizace se neprojevuje jen na úrovni ekonomické, i když je to nejvýznamnější aspekt světové globalizace, ale projevuje se také na úrovni politické, společenské, kulturní. Všechny tyto složky globalizačního procesu jsou ve vzájemné interakci a působí kompaktně na všechny složky obdobného charakteru, ovšem na lokální úrovni. Tím i obyčejný člověk pociťuje ve svém praktickém životě dopady současné globalizované společnosti.</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pacing w:val="-3"/>
          <w:sz w:val="24"/>
          <w:szCs w:val="24"/>
        </w:rPr>
        <w:t xml:space="preserve">Pokud se ohlédneme do minulosti, zjistíme, že globalizace jako taková není zcela novým jevem, ale v podstatě je to intenzivní pokračování vývoje, který byl až donedávna nazýván internacionalizací světového hospodářství. Jaký je rozdíl mezi globalizací a internacionalizací? Zásadní rozdíl mezi těmito termíny spočívá v rozličně důležitém postavení státních hranic jakožto barier pro obchod, průmysl atd. Internacionalizace představuje mezinárodní obchod se zbožím, které je vytvářeno výrobou organizovanou v rámci národních hospodářství. V případě globalizace však státní hranice již nehrají roli mantinelů, uvnitř nichž je výrobní proces uzavřen. Pro globalizaci je tedy charakteristické, že dochází k vytváření nadnárodních společností (NNS), </w:t>
      </w:r>
      <w:r w:rsidRPr="00DF128A">
        <w:rPr>
          <w:rFonts w:ascii="Times New Roman" w:hAnsi="Times New Roman" w:cs="Times New Roman"/>
          <w:spacing w:val="-3"/>
          <w:sz w:val="24"/>
          <w:szCs w:val="24"/>
        </w:rPr>
        <w:lastRenderedPageBreak/>
        <w:t xml:space="preserve">mezi nimiž vznikaly stále silnější vzájemné propojenosti a integraci produkce zboží a služeb na nadnárodní úrovni. </w:t>
      </w:r>
      <w:r w:rsidRPr="00DF128A">
        <w:rPr>
          <w:rFonts w:ascii="Times New Roman" w:hAnsi="Times New Roman" w:cs="Times New Roman"/>
          <w:sz w:val="24"/>
          <w:szCs w:val="24"/>
        </w:rPr>
        <w:t>Jak dále uvádí Sýkora</w:t>
      </w:r>
      <w:r w:rsidR="007A1BA1">
        <w:rPr>
          <w:rFonts w:ascii="Times New Roman" w:hAnsi="Times New Roman" w:cs="Times New Roman"/>
          <w:sz w:val="24"/>
          <w:szCs w:val="24"/>
        </w:rPr>
        <w:t xml:space="preserve"> (2000)</w:t>
      </w:r>
      <w:r w:rsidRPr="00DF128A">
        <w:rPr>
          <w:rFonts w:ascii="Times New Roman" w:hAnsi="Times New Roman" w:cs="Times New Roman"/>
          <w:sz w:val="24"/>
          <w:szCs w:val="24"/>
        </w:rPr>
        <w:t xml:space="preserve">, v období internacionalizace byl pro největší firmy nejdůležitějším nástrojem export za účelem rozšiřování trhu pro své výrobky a služby, zatímco výroba byla zpravidla uzavřená v rámci státu, kde firma sídlila. Postupem času začaly největší firmy postupovat podle předem vytyčených strategií, jejichž cílem bylo ovládnutí větších trhů, kvalitativně vyšší propojování trhů a výroby a samozřejmě koncentrace kapitálu.     Tohoto se tyto velké firmy snažily dosáhnout především těmito postupy. V zahraničí zakládaly vlastní obchodní zastoupení, </w:t>
      </w:r>
      <w:r w:rsidR="007A1BA1">
        <w:rPr>
          <w:rFonts w:ascii="Times New Roman" w:hAnsi="Times New Roman" w:cs="Times New Roman"/>
          <w:sz w:val="24"/>
          <w:szCs w:val="24"/>
        </w:rPr>
        <w:t xml:space="preserve">dále navazovalo </w:t>
      </w:r>
      <w:r w:rsidRPr="00DF128A">
        <w:rPr>
          <w:rFonts w:ascii="Times New Roman" w:hAnsi="Times New Roman" w:cs="Times New Roman"/>
          <w:sz w:val="24"/>
          <w:szCs w:val="24"/>
        </w:rPr>
        <w:t>budování výrobních poboček, nových mont</w:t>
      </w:r>
      <w:r w:rsidR="007A1BA1">
        <w:rPr>
          <w:rFonts w:ascii="Times New Roman" w:hAnsi="Times New Roman" w:cs="Times New Roman"/>
          <w:sz w:val="24"/>
          <w:szCs w:val="24"/>
        </w:rPr>
        <w:t>á</w:t>
      </w:r>
      <w:r w:rsidRPr="00DF128A">
        <w:rPr>
          <w:rFonts w:ascii="Times New Roman" w:hAnsi="Times New Roman" w:cs="Times New Roman"/>
          <w:sz w:val="24"/>
          <w:szCs w:val="24"/>
        </w:rPr>
        <w:t>žních závodů nebo získání firem v</w:t>
      </w:r>
      <w:r w:rsidR="007A1BA1">
        <w:rPr>
          <w:rFonts w:ascii="Times New Roman" w:hAnsi="Times New Roman" w:cs="Times New Roman"/>
          <w:sz w:val="24"/>
          <w:szCs w:val="24"/>
        </w:rPr>
        <w:t> </w:t>
      </w:r>
      <w:r w:rsidRPr="00DF128A">
        <w:rPr>
          <w:rFonts w:ascii="Times New Roman" w:hAnsi="Times New Roman" w:cs="Times New Roman"/>
          <w:sz w:val="24"/>
          <w:szCs w:val="24"/>
        </w:rPr>
        <w:t>zahraničí</w:t>
      </w:r>
      <w:r w:rsidR="007A1BA1">
        <w:rPr>
          <w:rFonts w:ascii="Times New Roman" w:hAnsi="Times New Roman" w:cs="Times New Roman"/>
          <w:sz w:val="24"/>
          <w:szCs w:val="24"/>
        </w:rPr>
        <w:t>. Někdy</w:t>
      </w:r>
      <w:r w:rsidRPr="00DF128A">
        <w:rPr>
          <w:rFonts w:ascii="Times New Roman" w:hAnsi="Times New Roman" w:cs="Times New Roman"/>
          <w:sz w:val="24"/>
          <w:szCs w:val="24"/>
        </w:rPr>
        <w:t xml:space="preserve"> i za účelem likvidace konkurence, kdy je pak místní trh zásobován importovaným zbožím</w:t>
      </w:r>
      <w:r w:rsidR="007A1BA1">
        <w:rPr>
          <w:rFonts w:ascii="Times New Roman" w:hAnsi="Times New Roman" w:cs="Times New Roman"/>
          <w:sz w:val="24"/>
          <w:szCs w:val="24"/>
        </w:rPr>
        <w:t>. V</w:t>
      </w:r>
      <w:r w:rsidRPr="00DF128A">
        <w:rPr>
          <w:rFonts w:ascii="Times New Roman" w:hAnsi="Times New Roman" w:cs="Times New Roman"/>
          <w:sz w:val="24"/>
          <w:szCs w:val="24"/>
        </w:rPr>
        <w:t xml:space="preserve"> neposlední řadě začaly velké národní koncerny fúzovat. </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r w:rsidRPr="00DF128A">
        <w:rPr>
          <w:rFonts w:ascii="Times New Roman" w:hAnsi="Times New Roman" w:cs="Times New Roman"/>
          <w:sz w:val="24"/>
          <w:szCs w:val="24"/>
        </w:rPr>
        <w:t xml:space="preserve">Od konce 2. světové války, a zejména pak od 80. let 20. století, dochází k silnému narůstání vzájemné propojenosti, k integraci produkce zboží a služeb na nadnárodní úrovni, </w:t>
      </w:r>
      <w:r w:rsidR="00777113">
        <w:rPr>
          <w:rFonts w:ascii="Times New Roman" w:hAnsi="Times New Roman" w:cs="Times New Roman"/>
          <w:sz w:val="24"/>
          <w:szCs w:val="24"/>
        </w:rPr>
        <w:t xml:space="preserve">což </w:t>
      </w:r>
      <w:r w:rsidRPr="00DF128A">
        <w:rPr>
          <w:rFonts w:ascii="Times New Roman" w:hAnsi="Times New Roman" w:cs="Times New Roman"/>
          <w:sz w:val="24"/>
          <w:szCs w:val="24"/>
        </w:rPr>
        <w:t>zn</w:t>
      </w:r>
      <w:r w:rsidR="00777113">
        <w:rPr>
          <w:rFonts w:ascii="Times New Roman" w:hAnsi="Times New Roman" w:cs="Times New Roman"/>
          <w:sz w:val="24"/>
          <w:szCs w:val="24"/>
        </w:rPr>
        <w:t>amená,</w:t>
      </w:r>
      <w:r w:rsidRPr="00DF128A">
        <w:rPr>
          <w:rFonts w:ascii="Times New Roman" w:hAnsi="Times New Roman" w:cs="Times New Roman"/>
          <w:sz w:val="24"/>
          <w:szCs w:val="24"/>
        </w:rPr>
        <w:t xml:space="preserve"> že vůdčími aktéry globalizace jsou nadnárodní společnosti (NNS).</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NNS zakládají v zahraničí své pobočky několika různými formami přímých zahraničních investic (PZI; v angličtině ‘foreign direct investments - FDI’). Těmito formami jsou: akvizice existující firmy, výstavba nových provozních kapacit, také mohou vzniknout i na základě fúze dvou firem z odlišných zemí původu. Tři výše uvedené strategie slouží i k expanzi existujících NNS. Dicken (1992</w:t>
      </w:r>
      <w:r w:rsidR="00777113">
        <w:rPr>
          <w:rFonts w:ascii="Times New Roman" w:hAnsi="Times New Roman" w:cs="Times New Roman"/>
          <w:sz w:val="24"/>
          <w:szCs w:val="24"/>
        </w:rPr>
        <w:t>:</w:t>
      </w:r>
      <w:r w:rsidRPr="00DF128A">
        <w:rPr>
          <w:rFonts w:ascii="Times New Roman" w:hAnsi="Times New Roman" w:cs="Times New Roman"/>
          <w:sz w:val="24"/>
          <w:szCs w:val="24"/>
        </w:rPr>
        <w:t xml:space="preserve"> 47 v Sýkora 2000) zdůrazňuje tři významné charakteristiky nadnárodních společností, kterými jsou:</w:t>
      </w:r>
    </w:p>
    <w:p w:rsidR="00DF128A" w:rsidRPr="00DF128A" w:rsidRDefault="00DF128A" w:rsidP="00EE0CF5">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(1) NNS vyvíjejí ekonomické aktivity na několika národních trzích.</w:t>
      </w:r>
    </w:p>
    <w:p w:rsidR="00DF128A" w:rsidRPr="00DF128A" w:rsidRDefault="00EE0CF5" w:rsidP="00EE0CF5">
      <w:pPr>
        <w:widowControl w:val="0"/>
        <w:spacing w:line="276" w:lineRule="auto"/>
        <w:jc w:val="both"/>
        <w:rPr>
          <w:rFonts w:ascii="Times New Roman" w:hAnsi="Times New Roman" w:cs="Times New Roman"/>
          <w:sz w:val="24"/>
          <w:szCs w:val="24"/>
        </w:rPr>
      </w:pPr>
      <w:r>
        <w:rPr>
          <w:rFonts w:ascii="Times New Roman" w:hAnsi="Times New Roman" w:cs="Times New Roman"/>
          <w:sz w:val="24"/>
          <w:szCs w:val="24"/>
        </w:rPr>
        <w:t>(</w:t>
      </w:r>
      <w:r w:rsidR="00DF128A" w:rsidRPr="00DF128A">
        <w:rPr>
          <w:rFonts w:ascii="Times New Roman" w:hAnsi="Times New Roman" w:cs="Times New Roman"/>
          <w:sz w:val="24"/>
          <w:szCs w:val="24"/>
        </w:rPr>
        <w:t xml:space="preserve">2) Mohou tak využívat odlišností mezi jednotlivými zeměmi, včetně rozdílů v politických prioritách, regulačních mechanismech a například rozsahu pobídek pro přilákání PZI a NNS. </w:t>
      </w:r>
    </w:p>
    <w:p w:rsidR="00DF128A" w:rsidRPr="00DF128A" w:rsidRDefault="00DF128A" w:rsidP="00EE0CF5">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(3) NNS mají vysokou geografickou flexibilitu a na měnící se místní podmínky mohou rychle reagovat přesunem svých aktivit do vhodnější lokality v jiné části světa.</w:t>
      </w:r>
    </w:p>
    <w:p w:rsidR="00DF128A" w:rsidRPr="00DF128A" w:rsidRDefault="00DF128A" w:rsidP="00DF128A">
      <w:pPr>
        <w:widowControl w:val="0"/>
        <w:spacing w:line="276" w:lineRule="auto"/>
        <w:ind w:firstLine="709"/>
        <w:jc w:val="both"/>
        <w:rPr>
          <w:rFonts w:ascii="Times New Roman" w:hAnsi="Times New Roman" w:cs="Times New Roman"/>
          <w:spacing w:val="-3"/>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pacing w:val="-3"/>
          <w:sz w:val="24"/>
          <w:szCs w:val="24"/>
        </w:rPr>
        <w:t>Na třetí bod charakteristiky NNS částečně navazuje myšlenka rozdílnosti v dostupnosti zdrojů a v organizaci. Jak uvádí Ježek (2000), lokalizační chování podniků není jen ovlivněno dostupností informací a jejich využitím, ale také v lepší vybavenosti informačními zdroji, které usnadňují podniku nést náklady související s přemístěním podniku nebo založením nového podniku. V podstatě jen velké podniky s mnoha pobočkami mohou využít mezinárodní a globální rozdíly. M</w:t>
      </w:r>
      <w:r w:rsidRPr="00DF128A">
        <w:rPr>
          <w:rFonts w:ascii="Times New Roman" w:hAnsi="Times New Roman" w:cs="Times New Roman"/>
          <w:sz w:val="24"/>
          <w:szCs w:val="24"/>
        </w:rPr>
        <w:t>ohou jednotlivé závody optimálně přizpůsobovat podmínkám zvolených lokalit a mohou je specializovat.</w:t>
      </w:r>
      <w:r w:rsidRPr="00DF128A">
        <w:rPr>
          <w:rFonts w:ascii="Times New Roman" w:hAnsi="Times New Roman" w:cs="Times New Roman"/>
          <w:spacing w:val="-3"/>
          <w:sz w:val="24"/>
          <w:szCs w:val="24"/>
        </w:rPr>
        <w:t xml:space="preserve"> </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128A" w:rsidP="00EE0CF5">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Vymezení oblasti</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Jistá nejednotnost panuje mezi jednotlivými institucemi, rozvojovými agenturami v problematice určení, co považovat za průmyslovou, podnikatelskou zónu či rozvojovou plochu. V podstatě každý zainteresovaný zdroj uvádí počty a data mírně se odlišující od </w:t>
      </w:r>
      <w:r w:rsidR="00777113">
        <w:rPr>
          <w:rFonts w:ascii="Times New Roman" w:hAnsi="Times New Roman" w:cs="Times New Roman"/>
          <w:sz w:val="24"/>
          <w:szCs w:val="24"/>
        </w:rPr>
        <w:t>i</w:t>
      </w:r>
      <w:r w:rsidRPr="00DF128A">
        <w:rPr>
          <w:rFonts w:ascii="Times New Roman" w:hAnsi="Times New Roman" w:cs="Times New Roman"/>
          <w:sz w:val="24"/>
          <w:szCs w:val="24"/>
        </w:rPr>
        <w:t xml:space="preserve">nformací ostatních subjektů. </w:t>
      </w:r>
      <w:r w:rsidR="00777113">
        <w:rPr>
          <w:rFonts w:ascii="Times New Roman" w:hAnsi="Times New Roman" w:cs="Times New Roman"/>
          <w:sz w:val="24"/>
          <w:szCs w:val="24"/>
        </w:rPr>
        <w:t>O</w:t>
      </w:r>
      <w:r w:rsidRPr="00DF128A">
        <w:rPr>
          <w:rFonts w:ascii="Times New Roman" w:hAnsi="Times New Roman" w:cs="Times New Roman"/>
          <w:sz w:val="24"/>
          <w:szCs w:val="24"/>
        </w:rPr>
        <w:t>blast</w:t>
      </w:r>
      <w:r w:rsidR="00777113">
        <w:rPr>
          <w:rFonts w:ascii="Times New Roman" w:hAnsi="Times New Roman" w:cs="Times New Roman"/>
          <w:sz w:val="24"/>
          <w:szCs w:val="24"/>
        </w:rPr>
        <w:t xml:space="preserve"> zájmu je</w:t>
      </w:r>
      <w:r w:rsidRPr="00DF128A">
        <w:rPr>
          <w:rFonts w:ascii="Times New Roman" w:hAnsi="Times New Roman" w:cs="Times New Roman"/>
          <w:sz w:val="24"/>
          <w:szCs w:val="24"/>
        </w:rPr>
        <w:t xml:space="preserve"> dále omez</w:t>
      </w:r>
      <w:r w:rsidR="00777113">
        <w:rPr>
          <w:rFonts w:ascii="Times New Roman" w:hAnsi="Times New Roman" w:cs="Times New Roman"/>
          <w:sz w:val="24"/>
          <w:szCs w:val="24"/>
        </w:rPr>
        <w:t>ena</w:t>
      </w:r>
      <w:r w:rsidRPr="00DF128A">
        <w:rPr>
          <w:rFonts w:ascii="Times New Roman" w:hAnsi="Times New Roman" w:cs="Times New Roman"/>
          <w:sz w:val="24"/>
          <w:szCs w:val="24"/>
        </w:rPr>
        <w:t xml:space="preserve"> na okres Brno – město a průmyslovou zónu CTP Modřice, jenž je v blízkém sousedství Brna.</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Přehled průmyslových zón a admi</w:t>
      </w:r>
      <w:r w:rsidR="00244EC4">
        <w:rPr>
          <w:rFonts w:ascii="Times New Roman" w:hAnsi="Times New Roman" w:cs="Times New Roman"/>
          <w:sz w:val="24"/>
          <w:szCs w:val="24"/>
        </w:rPr>
        <w:t>ni</w:t>
      </w:r>
      <w:r w:rsidRPr="00DF128A">
        <w:rPr>
          <w:rFonts w:ascii="Times New Roman" w:hAnsi="Times New Roman" w:cs="Times New Roman"/>
          <w:sz w:val="24"/>
          <w:szCs w:val="24"/>
        </w:rPr>
        <w:t>strativních center</w:t>
      </w:r>
      <w:r w:rsidR="00777113">
        <w:rPr>
          <w:rFonts w:ascii="Times New Roman" w:hAnsi="Times New Roman" w:cs="Times New Roman"/>
          <w:sz w:val="24"/>
          <w:szCs w:val="24"/>
        </w:rPr>
        <w:t xml:space="preserve"> (viz obr. 1)</w:t>
      </w:r>
      <w:r w:rsidRPr="00DF128A">
        <w:rPr>
          <w:rFonts w:ascii="Times New Roman" w:hAnsi="Times New Roman" w:cs="Times New Roman"/>
          <w:sz w:val="24"/>
          <w:szCs w:val="24"/>
        </w:rPr>
        <w:t xml:space="preserve"> je uveden podle údajů RRAJM (Regionální rozvojová agentura jižní Moravy). </w:t>
      </w:r>
    </w:p>
    <w:p w:rsidR="00DF128A" w:rsidRPr="00DF128A" w:rsidRDefault="00DF128A" w:rsidP="00EE0CF5">
      <w:pPr>
        <w:widowControl w:val="0"/>
        <w:spacing w:line="276" w:lineRule="auto"/>
        <w:jc w:val="both"/>
        <w:rPr>
          <w:rFonts w:ascii="Times New Roman" w:hAnsi="Times New Roman" w:cs="Times New Roman"/>
          <w:sz w:val="24"/>
          <w:szCs w:val="24"/>
        </w:rPr>
      </w:pPr>
      <w:r w:rsidRPr="00DF128A">
        <w:rPr>
          <w:rFonts w:ascii="Times New Roman" w:hAnsi="Times New Roman" w:cs="Times New Roman"/>
          <w:noProof/>
          <w:sz w:val="24"/>
          <w:szCs w:val="24"/>
          <w:lang w:eastAsia="cs-CZ"/>
        </w:rPr>
        <w:lastRenderedPageBreak/>
        <w:drawing>
          <wp:inline distT="0" distB="0" distL="0" distR="0" wp14:anchorId="4228E123" wp14:editId="3551DC13">
            <wp:extent cx="5715000" cy="4000500"/>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000" cy="4000500"/>
                    </a:xfrm>
                    <a:prstGeom prst="rect">
                      <a:avLst/>
                    </a:prstGeom>
                    <a:noFill/>
                    <a:ln>
                      <a:noFill/>
                    </a:ln>
                  </pic:spPr>
                </pic:pic>
              </a:graphicData>
            </a:graphic>
          </wp:inline>
        </w:drawing>
      </w:r>
    </w:p>
    <w:p w:rsidR="00DF128A" w:rsidRPr="00EE0CF5" w:rsidRDefault="00DF128A" w:rsidP="00EE0CF5">
      <w:pPr>
        <w:widowControl w:val="0"/>
        <w:spacing w:line="276" w:lineRule="auto"/>
        <w:jc w:val="both"/>
        <w:rPr>
          <w:rFonts w:ascii="Times New Roman" w:hAnsi="Times New Roman" w:cs="Times New Roman"/>
          <w:i/>
          <w:sz w:val="20"/>
          <w:szCs w:val="20"/>
        </w:rPr>
      </w:pPr>
      <w:r w:rsidRPr="00777113">
        <w:rPr>
          <w:rFonts w:ascii="Times New Roman" w:hAnsi="Times New Roman" w:cs="Times New Roman"/>
          <w:b/>
          <w:sz w:val="24"/>
          <w:szCs w:val="24"/>
        </w:rPr>
        <w:t>Obr. 1:</w:t>
      </w:r>
      <w:r w:rsidRPr="00DF128A">
        <w:rPr>
          <w:rFonts w:ascii="Times New Roman" w:hAnsi="Times New Roman" w:cs="Times New Roman"/>
          <w:sz w:val="24"/>
          <w:szCs w:val="24"/>
        </w:rPr>
        <w:t xml:space="preserve"> Mapa administrativních center a průmyslových zón v Brně a jeho okolí</w:t>
      </w:r>
      <w:r w:rsidR="00B038A1">
        <w:rPr>
          <w:rFonts w:ascii="Times New Roman" w:hAnsi="Times New Roman" w:cs="Times New Roman"/>
          <w:sz w:val="24"/>
          <w:szCs w:val="24"/>
        </w:rPr>
        <w:t xml:space="preserve"> (</w:t>
      </w:r>
      <w:r w:rsidRPr="00EE0CF5">
        <w:rPr>
          <w:rFonts w:ascii="Times New Roman" w:hAnsi="Times New Roman" w:cs="Times New Roman"/>
          <w:i/>
          <w:sz w:val="20"/>
          <w:szCs w:val="20"/>
        </w:rPr>
        <w:t>Zdroj: www.rrajm.cz</w:t>
      </w:r>
      <w:r w:rsidR="00B038A1">
        <w:rPr>
          <w:rFonts w:ascii="Times New Roman" w:hAnsi="Times New Roman" w:cs="Times New Roman"/>
          <w:i/>
          <w:sz w:val="20"/>
          <w:szCs w:val="20"/>
        </w:rPr>
        <w:t>)</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EE0CF5">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Lokalizační faktory PZI</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r w:rsidRPr="00DF128A">
        <w:rPr>
          <w:rFonts w:ascii="Times New Roman" w:hAnsi="Times New Roman" w:cs="Times New Roman"/>
          <w:sz w:val="24"/>
          <w:szCs w:val="24"/>
        </w:rPr>
        <w:t>Přímé zahraniční investice se staly již neodmyslitelnou součástí dnešních světových ekonomik, ať už se jedná o rozvinuté ekonomiky nebo ty rozvíjející se. Obecně jsou PZI považovány za velmi účinný nástroj pro budoucí ekonomický rozvoj daných států a jednotlivých regionů. Proto v současnosti se samotnému studiu a výzkumu PZI věnuje větší pozornost.</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Dle Srnholce (2003) „jsou za přímé zahraniční investice považovány investice do jiné země za účelem získání podílu na kmenových akciích a rozhodovacích pravomocích ve výši alespoň 10%, </w:t>
      </w:r>
      <w:r w:rsidR="00777113">
        <w:rPr>
          <w:rFonts w:ascii="Times New Roman" w:hAnsi="Times New Roman" w:cs="Times New Roman"/>
          <w:sz w:val="24"/>
          <w:szCs w:val="24"/>
        </w:rPr>
        <w:t>…</w:t>
      </w:r>
      <w:r w:rsidRPr="00DF128A">
        <w:rPr>
          <w:rFonts w:ascii="Times New Roman" w:hAnsi="Times New Roman" w:cs="Times New Roman"/>
          <w:sz w:val="24"/>
          <w:szCs w:val="24"/>
        </w:rPr>
        <w:t xml:space="preserve"> což však nemusí znamenat jeho kontrolu nad daným podnikem“. Toto vymezení vychází z devizového zákona ČR. Podle definice MMF a OECD je podmínkou i trvalý zájem investora na činnosti společnosti a jeho podíl na řízení. Z důvodu shromažďování a porovnávání dat o PZI ve světě, OECD v souladu s EUROSTAT a MMF stanovilo definici PZI. Z této definice vychází i Česká národní banka, která sestavuje a poskytuje informace o rozvoji přímých zahraničních investic na úrovni České republiky. Publikace „Přímé zahraniční investice“ nám přináší informace a data o stavech přímých investic v zahraničí a v tuzemsku, členěnými podle zemí, odvětví a rozmístění zahraničních investic v ČR podle krajů. Dále údaje za toky přímých investic ve sledovaném roce a časové řady stavů a toků PZI od vzniku České republiky v roce 1993.</w:t>
      </w:r>
    </w:p>
    <w:p w:rsidR="00DF128A" w:rsidRPr="00DF128A" w:rsidRDefault="00DF128A" w:rsidP="00DF128A">
      <w:pPr>
        <w:pStyle w:val="Zkladntextodsazen2"/>
        <w:widowControl w:val="0"/>
        <w:spacing w:after="0"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Výraznou předností PZI je její prostorová mobilita. Většina teoretických studií se shoduje v jednom, že firmy realizují prostorové přesuny svých podniků, závodů a dalších aktivit ze stávajících lokalit na základě neshodnosti těchto lokalit s vypracovanými </w:t>
      </w:r>
      <w:r w:rsidRPr="00DF128A">
        <w:rPr>
          <w:rFonts w:ascii="Times New Roman" w:hAnsi="Times New Roman" w:cs="Times New Roman"/>
          <w:sz w:val="24"/>
          <w:szCs w:val="24"/>
        </w:rPr>
        <w:lastRenderedPageBreak/>
        <w:t>strategiemi jejich dalšího rozvoje. Nejvýznamnějšími skupinami faktorů stimulujících firmy k prostorové mobilitě z mikroekonomického pohledu jsou (Viturka a kol. 1998</w:t>
      </w:r>
      <w:r w:rsidR="00777113">
        <w:rPr>
          <w:rFonts w:ascii="Times New Roman" w:hAnsi="Times New Roman" w:cs="Times New Roman"/>
          <w:sz w:val="24"/>
          <w:szCs w:val="24"/>
        </w:rPr>
        <w:t>:</w:t>
      </w:r>
      <w:r w:rsidRPr="00DF128A">
        <w:rPr>
          <w:rFonts w:ascii="Times New Roman" w:hAnsi="Times New Roman" w:cs="Times New Roman"/>
          <w:sz w:val="24"/>
          <w:szCs w:val="24"/>
        </w:rPr>
        <w:t xml:space="preserve"> 5):</w:t>
      </w:r>
    </w:p>
    <w:p w:rsidR="00DF128A" w:rsidRPr="00DF128A" w:rsidRDefault="00DF128A" w:rsidP="00EE0CF5">
      <w:pPr>
        <w:widowControl w:val="0"/>
        <w:numPr>
          <w:ilvl w:val="0"/>
          <w:numId w:val="7"/>
        </w:numPr>
        <w:tabs>
          <w:tab w:val="clear" w:pos="780"/>
          <w:tab w:val="num" w:pos="567"/>
        </w:tabs>
        <w:spacing w:line="276" w:lineRule="auto"/>
        <w:ind w:left="0" w:firstLine="284"/>
        <w:jc w:val="both"/>
        <w:rPr>
          <w:rFonts w:ascii="Times New Roman" w:hAnsi="Times New Roman" w:cs="Times New Roman"/>
          <w:sz w:val="24"/>
          <w:szCs w:val="24"/>
        </w:rPr>
      </w:pPr>
      <w:r w:rsidRPr="00DF128A">
        <w:rPr>
          <w:rFonts w:ascii="Times New Roman" w:hAnsi="Times New Roman" w:cs="Times New Roman"/>
          <w:b/>
          <w:sz w:val="24"/>
          <w:szCs w:val="24"/>
        </w:rPr>
        <w:t>Tržní faktory</w:t>
      </w:r>
      <w:r w:rsidRPr="00DF128A">
        <w:rPr>
          <w:rFonts w:ascii="Times New Roman" w:hAnsi="Times New Roman" w:cs="Times New Roman"/>
          <w:sz w:val="24"/>
          <w:szCs w:val="24"/>
        </w:rPr>
        <w:t xml:space="preserve"> – rozšiřující se trhy zvyšující poptávku, nízká intenzita územních vazeb.</w:t>
      </w:r>
    </w:p>
    <w:p w:rsidR="00DF128A" w:rsidRPr="00DF128A" w:rsidRDefault="00DF128A" w:rsidP="00EE0CF5">
      <w:pPr>
        <w:widowControl w:val="0"/>
        <w:numPr>
          <w:ilvl w:val="0"/>
          <w:numId w:val="7"/>
        </w:numPr>
        <w:tabs>
          <w:tab w:val="clear" w:pos="780"/>
          <w:tab w:val="num" w:pos="567"/>
        </w:tabs>
        <w:spacing w:line="276" w:lineRule="auto"/>
        <w:ind w:left="0" w:firstLine="284"/>
        <w:jc w:val="both"/>
        <w:rPr>
          <w:rFonts w:ascii="Times New Roman" w:hAnsi="Times New Roman" w:cs="Times New Roman"/>
          <w:sz w:val="24"/>
          <w:szCs w:val="24"/>
        </w:rPr>
      </w:pPr>
      <w:r w:rsidRPr="00DF128A">
        <w:rPr>
          <w:rFonts w:ascii="Times New Roman" w:hAnsi="Times New Roman" w:cs="Times New Roman"/>
          <w:b/>
          <w:sz w:val="24"/>
          <w:szCs w:val="24"/>
        </w:rPr>
        <w:t>Technologické faktory</w:t>
      </w:r>
      <w:r w:rsidRPr="00DF128A">
        <w:rPr>
          <w:rFonts w:ascii="Times New Roman" w:hAnsi="Times New Roman" w:cs="Times New Roman"/>
          <w:sz w:val="24"/>
          <w:szCs w:val="24"/>
        </w:rPr>
        <w:t xml:space="preserve"> – nízká fondová náročnost a rychlá návratnost investovaného kapitálu, nízké nároky na dopravu.</w:t>
      </w:r>
    </w:p>
    <w:p w:rsidR="00DF128A" w:rsidRPr="00DF128A" w:rsidRDefault="00DF128A" w:rsidP="00EE0CF5">
      <w:pPr>
        <w:widowControl w:val="0"/>
        <w:numPr>
          <w:ilvl w:val="0"/>
          <w:numId w:val="7"/>
        </w:numPr>
        <w:tabs>
          <w:tab w:val="clear" w:pos="780"/>
          <w:tab w:val="num" w:pos="567"/>
        </w:tabs>
        <w:spacing w:line="276" w:lineRule="auto"/>
        <w:ind w:left="0" w:firstLine="284"/>
        <w:jc w:val="both"/>
        <w:rPr>
          <w:rFonts w:ascii="Times New Roman" w:hAnsi="Times New Roman" w:cs="Times New Roman"/>
          <w:sz w:val="24"/>
          <w:szCs w:val="24"/>
        </w:rPr>
      </w:pPr>
      <w:r w:rsidRPr="00DF128A">
        <w:rPr>
          <w:rFonts w:ascii="Times New Roman" w:hAnsi="Times New Roman" w:cs="Times New Roman"/>
          <w:b/>
          <w:sz w:val="24"/>
          <w:szCs w:val="24"/>
        </w:rPr>
        <w:t>Regulační faktory</w:t>
      </w:r>
      <w:r w:rsidRPr="00DF128A">
        <w:rPr>
          <w:rFonts w:ascii="Times New Roman" w:hAnsi="Times New Roman" w:cs="Times New Roman"/>
          <w:sz w:val="24"/>
          <w:szCs w:val="24"/>
        </w:rPr>
        <w:t xml:space="preserve"> – uvolnění regulace cílené na snížení ochrany trhů.</w:t>
      </w:r>
    </w:p>
    <w:p w:rsidR="00DF128A" w:rsidRPr="00DF128A" w:rsidRDefault="00DF128A" w:rsidP="00EE0CF5">
      <w:pPr>
        <w:widowControl w:val="0"/>
        <w:numPr>
          <w:ilvl w:val="0"/>
          <w:numId w:val="7"/>
        </w:numPr>
        <w:tabs>
          <w:tab w:val="clear" w:pos="780"/>
          <w:tab w:val="num" w:pos="567"/>
        </w:tabs>
        <w:spacing w:line="276" w:lineRule="auto"/>
        <w:ind w:left="0" w:firstLine="284"/>
        <w:jc w:val="both"/>
        <w:rPr>
          <w:rFonts w:ascii="Times New Roman" w:hAnsi="Times New Roman" w:cs="Times New Roman"/>
          <w:sz w:val="24"/>
          <w:szCs w:val="24"/>
        </w:rPr>
      </w:pPr>
      <w:r w:rsidRPr="00DF128A">
        <w:rPr>
          <w:rFonts w:ascii="Times New Roman" w:hAnsi="Times New Roman" w:cs="Times New Roman"/>
          <w:b/>
          <w:sz w:val="24"/>
          <w:szCs w:val="24"/>
        </w:rPr>
        <w:t>Konkurenční faktory</w:t>
      </w:r>
      <w:r w:rsidRPr="00DF128A">
        <w:rPr>
          <w:rFonts w:ascii="Times New Roman" w:hAnsi="Times New Roman" w:cs="Times New Roman"/>
          <w:sz w:val="24"/>
          <w:szCs w:val="24"/>
        </w:rPr>
        <w:t xml:space="preserve"> – vyšší potenciál mobility u exportně orientovaných firem, vysoké pracovní náklady stavící firmy před rozhodnutí zda investovat do pracovně úsporných technologií či přesídlit do lokality s nižšími pracovními náklady.</w:t>
      </w:r>
    </w:p>
    <w:p w:rsidR="00DF128A" w:rsidRPr="00DF128A" w:rsidRDefault="00DF128A" w:rsidP="00EE0CF5">
      <w:pPr>
        <w:widowControl w:val="0"/>
        <w:numPr>
          <w:ilvl w:val="0"/>
          <w:numId w:val="7"/>
        </w:numPr>
        <w:tabs>
          <w:tab w:val="clear" w:pos="780"/>
          <w:tab w:val="num" w:pos="567"/>
        </w:tabs>
        <w:spacing w:line="276" w:lineRule="auto"/>
        <w:ind w:left="0" w:firstLine="284"/>
        <w:jc w:val="both"/>
        <w:rPr>
          <w:rFonts w:ascii="Times New Roman" w:hAnsi="Times New Roman" w:cs="Times New Roman"/>
          <w:sz w:val="24"/>
          <w:szCs w:val="24"/>
        </w:rPr>
      </w:pPr>
      <w:r w:rsidRPr="00DF128A">
        <w:rPr>
          <w:rFonts w:ascii="Times New Roman" w:hAnsi="Times New Roman" w:cs="Times New Roman"/>
          <w:b/>
          <w:sz w:val="24"/>
          <w:szCs w:val="24"/>
        </w:rPr>
        <w:t>Geografické faktory</w:t>
      </w:r>
      <w:r w:rsidRPr="00DF128A">
        <w:rPr>
          <w:rFonts w:ascii="Times New Roman" w:hAnsi="Times New Roman" w:cs="Times New Roman"/>
          <w:sz w:val="24"/>
          <w:szCs w:val="24"/>
        </w:rPr>
        <w:t xml:space="preserve"> – nedostatek prostoru pro rozvoj respektive vysoké náklady spojené s jeho získáním, urbanistické přetížení území omezující jeho dostupnost.</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Důležitým strategickým rozhodnutím investora je způsob vstupu do hostitelské ekonomiky. Nejvýznamnějšími a asi nejznámějšími způsoby jsou investice na „zelené louce“ (greenfield). Umožňují realizovat projekt přesně podle záměrů nadnárodní firmy. Kapitálový vstup do již existujícího subjektu je označovaný jako „akvizice“ a „společný podnik“. Jde o okamžité úplné nebo částečné převzetí jeho podílu na trhu, produkční kapacity nebo aktiv. V transformujících se ekonomikách je takovýto vstup doprovázen investicemi do restrukturalizace podniku. V případě, že při následné produkci je využívaná převažující část výrobních kapacit vytvořená investicemi mateřské firmy, můžeme hovořit o investici na „hnědé louce“ (brownfield) (RRAJM 2005). </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Kromě zmiňovaných typů existují ještě další dva, celkem lze tedy typové volby investorů v místě rozdělit na:</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„zelená louka“ s výstavbou na zakázku</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využití spekulativně postavených objektů</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akvizice</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založení společného podniku</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využití stávajících nefunkčních/nevyužívaných prostor (brownfields)</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p>
    <w:p w:rsidR="00DF128A" w:rsidRPr="00DF128A" w:rsidRDefault="00DF128A" w:rsidP="00EE0CF5">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PZI v Brně a jeho okolí - průmyslové zóny, administrativní centra</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Přímé zahraniční investice již trvale patří k významným nástrojům místního ekonomického rozvoje. K přilákání nových investorů je potřebné vytvořit nejenom finanční pobídky a nabídnout pracovní sílu, ale je rovněž nutné zajistit vhodné prostory pro podnikatelské aktivity. Jednou z možností je budování podnikatelských zón. V rámci Jihomoravského kraje vyvíjí svou činnost RRAJM – Jihomoravská rozvojová agentura. Jejími hlavními činnostmi v rámci podpory přímých investic jsou bezplatný </w:t>
      </w:r>
      <w:r w:rsidRPr="00DF128A">
        <w:rPr>
          <w:rStyle w:val="Siln"/>
          <w:rFonts w:ascii="Times New Roman" w:hAnsi="Times New Roman" w:cs="Times New Roman"/>
          <w:b w:val="0"/>
          <w:sz w:val="24"/>
          <w:szCs w:val="24"/>
        </w:rPr>
        <w:t>servis potenciálním investorům</w:t>
      </w:r>
      <w:r w:rsidRPr="00DF128A">
        <w:rPr>
          <w:rFonts w:ascii="Times New Roman" w:hAnsi="Times New Roman" w:cs="Times New Roman"/>
          <w:b/>
          <w:sz w:val="24"/>
          <w:szCs w:val="24"/>
        </w:rPr>
        <w:t xml:space="preserve">, </w:t>
      </w:r>
      <w:r w:rsidRPr="00DF128A">
        <w:rPr>
          <w:rFonts w:ascii="Times New Roman" w:hAnsi="Times New Roman" w:cs="Times New Roman"/>
          <w:sz w:val="24"/>
          <w:szCs w:val="24"/>
        </w:rPr>
        <w:t>následná</w:t>
      </w:r>
      <w:r w:rsidRPr="00DF128A">
        <w:rPr>
          <w:rFonts w:ascii="Times New Roman" w:hAnsi="Times New Roman" w:cs="Times New Roman"/>
          <w:b/>
          <w:sz w:val="24"/>
          <w:szCs w:val="24"/>
        </w:rPr>
        <w:t xml:space="preserve"> </w:t>
      </w:r>
      <w:r w:rsidRPr="00DF128A">
        <w:rPr>
          <w:rStyle w:val="Siln"/>
          <w:rFonts w:ascii="Times New Roman" w:hAnsi="Times New Roman" w:cs="Times New Roman"/>
          <w:b w:val="0"/>
          <w:sz w:val="24"/>
          <w:szCs w:val="24"/>
        </w:rPr>
        <w:t>péče o umístěné investory</w:t>
      </w:r>
      <w:r w:rsidRPr="00DF128A">
        <w:rPr>
          <w:rFonts w:ascii="Times New Roman" w:hAnsi="Times New Roman" w:cs="Times New Roman"/>
          <w:b/>
          <w:sz w:val="24"/>
          <w:szCs w:val="24"/>
        </w:rPr>
        <w:t xml:space="preserve">, </w:t>
      </w:r>
      <w:r w:rsidRPr="00DF128A">
        <w:rPr>
          <w:rStyle w:val="Siln"/>
          <w:rFonts w:ascii="Times New Roman" w:hAnsi="Times New Roman" w:cs="Times New Roman"/>
          <w:b w:val="0"/>
          <w:sz w:val="24"/>
          <w:szCs w:val="24"/>
        </w:rPr>
        <w:t>posilování vazeb zahraničních</w:t>
      </w:r>
      <w:r w:rsidRPr="00DF128A">
        <w:rPr>
          <w:rStyle w:val="Siln"/>
          <w:rFonts w:ascii="Times New Roman" w:hAnsi="Times New Roman" w:cs="Times New Roman"/>
          <w:sz w:val="24"/>
          <w:szCs w:val="24"/>
        </w:rPr>
        <w:t xml:space="preserve"> </w:t>
      </w:r>
      <w:r w:rsidRPr="00DF128A">
        <w:rPr>
          <w:rStyle w:val="Siln"/>
          <w:rFonts w:ascii="Times New Roman" w:hAnsi="Times New Roman" w:cs="Times New Roman"/>
          <w:b w:val="0"/>
          <w:sz w:val="24"/>
          <w:szCs w:val="24"/>
        </w:rPr>
        <w:t>firem na místní dodavatelské firmy</w:t>
      </w:r>
      <w:r w:rsidRPr="00DF128A">
        <w:rPr>
          <w:rFonts w:ascii="Times New Roman" w:hAnsi="Times New Roman" w:cs="Times New Roman"/>
          <w:sz w:val="24"/>
          <w:szCs w:val="24"/>
        </w:rPr>
        <w:t xml:space="preserve"> a na výzkumné a vývojové instituce. Mezi další činnosti patří, příprava prezentací a marketingových materiálů, zprostředkování kontaktů s orgány státní správy a samosprávy a zajišťování aktuální nabídky vhodných průmyslových nemovitostí, ale také spolupráce s vládní agenturou pro podporu podnikání a investic CzechInvest. O většinu příchozích investic se zasloužily právě tyto dvě agentury. Dalším hráčem v získávání investic je soukromý developer CTP Project Invest. Společnost CTP byla v České republice založena v roce 1996 skupinou nizozemských stavebních podnikatelů a investorů. Česká republika byla </w:t>
      </w:r>
      <w:r w:rsidRPr="00DF128A">
        <w:rPr>
          <w:rFonts w:ascii="Times New Roman" w:hAnsi="Times New Roman" w:cs="Times New Roman"/>
          <w:sz w:val="24"/>
          <w:szCs w:val="24"/>
        </w:rPr>
        <w:lastRenderedPageBreak/>
        <w:t>vybrána jako výchozí lokace ve střední a východní Evropě, kde nabízí mezinárodním klientům, přemísťujícím své podnikatelské aktivity z tzv. “higher – cost“ zemí (země s vysokými provozními náklady), výstavbu průmyslových a kancelářských (administrativních) provozů na klíč (Kunc 2005).</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622CAB" w:rsidP="00B00A16">
      <w:pPr>
        <w:widowControl w:val="0"/>
        <w:rPr>
          <w:rFonts w:ascii="Times New Roman" w:hAnsi="Times New Roman" w:cs="Times New Roman"/>
          <w:sz w:val="24"/>
          <w:szCs w:val="24"/>
        </w:rPr>
      </w:pPr>
      <w:r>
        <w:rPr>
          <w:rFonts w:ascii="Times New Roman" w:hAnsi="Times New Roman" w:cs="Times New Roman"/>
          <w:sz w:val="24"/>
          <w:szCs w:val="24"/>
        </w:rPr>
        <w:t>T</w:t>
      </w:r>
      <w:r w:rsidR="00DF128A" w:rsidRPr="00DF128A">
        <w:rPr>
          <w:rFonts w:ascii="Times New Roman" w:hAnsi="Times New Roman" w:cs="Times New Roman"/>
          <w:sz w:val="24"/>
          <w:szCs w:val="24"/>
        </w:rPr>
        <w:t>ab.1: Přehled PZI a jejich umístění v Brně a v Modřicích v l</w:t>
      </w:r>
      <w:r w:rsidR="00B00A16">
        <w:rPr>
          <w:rFonts w:ascii="Times New Roman" w:hAnsi="Times New Roman" w:cs="Times New Roman"/>
          <w:sz w:val="24"/>
          <w:szCs w:val="24"/>
        </w:rPr>
        <w:t>etech 2001-2005</w:t>
      </w:r>
    </w:p>
    <w:tbl>
      <w:tblPr>
        <w:tblpPr w:leftFromText="141" w:rightFromText="141" w:vertAnchor="text" w:horzAnchor="margin" w:tblpY="146"/>
        <w:tblW w:w="8997"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880"/>
        <w:gridCol w:w="2160"/>
        <w:gridCol w:w="3240"/>
        <w:gridCol w:w="717"/>
      </w:tblGrid>
      <w:tr w:rsidR="00DF128A" w:rsidRPr="00DF128A" w:rsidTr="00DF128A">
        <w:trPr>
          <w:cantSplit/>
          <w:trHeight w:val="284"/>
        </w:trPr>
        <w:tc>
          <w:tcPr>
            <w:tcW w:w="2880" w:type="dxa"/>
            <w:noWrap/>
            <w:vAlign w:val="center"/>
          </w:tcPr>
          <w:p w:rsidR="00DF128A" w:rsidRPr="00EE0CF5" w:rsidRDefault="00DF128A" w:rsidP="00B00A16">
            <w:pPr>
              <w:pStyle w:val="Nadpis4"/>
              <w:keepNext w:val="0"/>
              <w:widowControl w:val="0"/>
              <w:numPr>
                <w:ilvl w:val="0"/>
                <w:numId w:val="0"/>
              </w:numPr>
              <w:spacing w:before="0" w:after="0"/>
              <w:jc w:val="center"/>
              <w:rPr>
                <w:rFonts w:asciiTheme="minorHAnsi" w:hAnsiTheme="minorHAnsi" w:cstheme="minorHAnsi"/>
                <w:sz w:val="20"/>
                <w:szCs w:val="20"/>
              </w:rPr>
            </w:pPr>
            <w:r w:rsidRPr="00EE0CF5">
              <w:rPr>
                <w:rFonts w:asciiTheme="minorHAnsi" w:hAnsiTheme="minorHAnsi" w:cstheme="minorHAnsi"/>
                <w:sz w:val="20"/>
                <w:szCs w:val="20"/>
              </w:rPr>
              <w:t>Společnost (země původu)</w:t>
            </w:r>
          </w:p>
        </w:tc>
        <w:tc>
          <w:tcPr>
            <w:tcW w:w="2160" w:type="dxa"/>
            <w:tcMar>
              <w:top w:w="0" w:type="dxa"/>
              <w:left w:w="15" w:type="dxa"/>
              <w:bottom w:w="0" w:type="dxa"/>
              <w:right w:w="15" w:type="dxa"/>
            </w:tcMar>
            <w:vAlign w:val="center"/>
          </w:tcPr>
          <w:p w:rsidR="00DF128A" w:rsidRPr="00EE0CF5" w:rsidRDefault="00DF128A" w:rsidP="00B00A16">
            <w:pPr>
              <w:pStyle w:val="Nadpis4"/>
              <w:keepNext w:val="0"/>
              <w:widowControl w:val="0"/>
              <w:numPr>
                <w:ilvl w:val="0"/>
                <w:numId w:val="0"/>
              </w:numPr>
              <w:spacing w:before="0" w:after="0"/>
              <w:jc w:val="center"/>
              <w:rPr>
                <w:rFonts w:asciiTheme="minorHAnsi" w:hAnsiTheme="minorHAnsi" w:cstheme="minorHAnsi"/>
                <w:sz w:val="20"/>
                <w:szCs w:val="20"/>
              </w:rPr>
            </w:pPr>
            <w:r w:rsidRPr="00EE0CF5">
              <w:rPr>
                <w:rFonts w:asciiTheme="minorHAnsi" w:hAnsiTheme="minorHAnsi" w:cstheme="minorHAnsi"/>
                <w:sz w:val="20"/>
                <w:szCs w:val="20"/>
              </w:rPr>
              <w:t>Lokalita</w:t>
            </w:r>
          </w:p>
        </w:tc>
        <w:tc>
          <w:tcPr>
            <w:tcW w:w="3240" w:type="dxa"/>
            <w:tcMar>
              <w:top w:w="15" w:type="dxa"/>
              <w:left w:w="15" w:type="dxa"/>
              <w:bottom w:w="0" w:type="dxa"/>
              <w:right w:w="15" w:type="dxa"/>
            </w:tcMar>
            <w:vAlign w:val="center"/>
          </w:tcPr>
          <w:p w:rsidR="00DF128A" w:rsidRPr="00EE0CF5" w:rsidRDefault="00DF128A" w:rsidP="00B00A16">
            <w:pPr>
              <w:pStyle w:val="Nadpis4"/>
              <w:keepNext w:val="0"/>
              <w:widowControl w:val="0"/>
              <w:numPr>
                <w:ilvl w:val="0"/>
                <w:numId w:val="0"/>
              </w:numPr>
              <w:spacing w:before="0" w:after="0"/>
              <w:jc w:val="center"/>
              <w:rPr>
                <w:rFonts w:asciiTheme="minorHAnsi" w:hAnsiTheme="minorHAnsi" w:cstheme="minorHAnsi"/>
                <w:sz w:val="20"/>
                <w:szCs w:val="20"/>
              </w:rPr>
            </w:pPr>
            <w:r w:rsidRPr="00EE0CF5">
              <w:rPr>
                <w:rFonts w:asciiTheme="minorHAnsi" w:hAnsiTheme="minorHAnsi" w:cstheme="minorHAnsi"/>
                <w:sz w:val="20"/>
                <w:szCs w:val="20"/>
              </w:rPr>
              <w:t>Typ činnosti</w:t>
            </w:r>
          </w:p>
        </w:tc>
        <w:tc>
          <w:tcPr>
            <w:tcW w:w="717" w:type="dxa"/>
            <w:tcMar>
              <w:top w:w="15" w:type="dxa"/>
              <w:left w:w="15" w:type="dxa"/>
              <w:bottom w:w="0" w:type="dxa"/>
              <w:right w:w="15" w:type="dxa"/>
            </w:tcMar>
            <w:vAlign w:val="center"/>
          </w:tcPr>
          <w:p w:rsidR="00DF128A" w:rsidRPr="00EE0CF5" w:rsidRDefault="00DF128A" w:rsidP="00B00A16">
            <w:pPr>
              <w:pStyle w:val="Nadpis4"/>
              <w:keepNext w:val="0"/>
              <w:widowControl w:val="0"/>
              <w:numPr>
                <w:ilvl w:val="0"/>
                <w:numId w:val="0"/>
              </w:numPr>
              <w:spacing w:before="0" w:after="0"/>
              <w:jc w:val="center"/>
              <w:rPr>
                <w:rFonts w:asciiTheme="minorHAnsi" w:hAnsiTheme="minorHAnsi" w:cstheme="minorHAnsi"/>
                <w:sz w:val="20"/>
                <w:szCs w:val="20"/>
              </w:rPr>
            </w:pPr>
            <w:r w:rsidRPr="00EE0CF5">
              <w:rPr>
                <w:rFonts w:asciiTheme="minorHAnsi" w:hAnsiTheme="minorHAnsi" w:cstheme="minorHAnsi"/>
                <w:sz w:val="20"/>
                <w:szCs w:val="20"/>
              </w:rPr>
              <w:t>Rok investic</w:t>
            </w:r>
          </w:p>
        </w:tc>
      </w:tr>
      <w:tr w:rsidR="00DF128A" w:rsidRPr="00DF128A" w:rsidTr="00DF128A">
        <w:trPr>
          <w:cantSplit/>
          <w:trHeight w:val="284"/>
        </w:trPr>
        <w:tc>
          <w:tcPr>
            <w:tcW w:w="2880" w:type="dxa"/>
            <w:noWrap/>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 xml:space="preserve">Car Clo Technical Plastics (UK) </w:t>
            </w:r>
          </w:p>
        </w:tc>
        <w:tc>
          <w:tcPr>
            <w:tcW w:w="2160" w:type="dxa"/>
            <w:tcMar>
              <w:top w:w="0"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Černovická terasa</w:t>
            </w:r>
          </w:p>
        </w:tc>
        <w:tc>
          <w:tcPr>
            <w:tcW w:w="3240"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technické plasty</w:t>
            </w:r>
          </w:p>
        </w:tc>
        <w:tc>
          <w:tcPr>
            <w:tcW w:w="717"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2001</w:t>
            </w:r>
          </w:p>
        </w:tc>
      </w:tr>
      <w:tr w:rsidR="00DF128A" w:rsidRPr="00DF128A" w:rsidTr="00DF128A">
        <w:trPr>
          <w:cantSplit/>
          <w:trHeight w:val="284"/>
        </w:trPr>
        <w:tc>
          <w:tcPr>
            <w:tcW w:w="2880" w:type="dxa"/>
            <w:noWrap/>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 xml:space="preserve">IBM (USA) </w:t>
            </w:r>
          </w:p>
        </w:tc>
        <w:tc>
          <w:tcPr>
            <w:tcW w:w="2160" w:type="dxa"/>
            <w:tcMar>
              <w:top w:w="0"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Technologický park</w:t>
            </w:r>
          </w:p>
        </w:tc>
        <w:tc>
          <w:tcPr>
            <w:tcW w:w="3240"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podpora IT, system management</w:t>
            </w:r>
          </w:p>
        </w:tc>
        <w:tc>
          <w:tcPr>
            <w:tcW w:w="717"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2001</w:t>
            </w:r>
          </w:p>
        </w:tc>
      </w:tr>
      <w:tr w:rsidR="00DF128A" w:rsidRPr="00DF128A" w:rsidTr="00DF128A">
        <w:trPr>
          <w:cantSplit/>
          <w:trHeight w:val="284"/>
        </w:trPr>
        <w:tc>
          <w:tcPr>
            <w:tcW w:w="2880" w:type="dxa"/>
            <w:noWrap/>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 xml:space="preserve">IMI Norgren (UK) </w:t>
            </w:r>
          </w:p>
        </w:tc>
        <w:tc>
          <w:tcPr>
            <w:tcW w:w="2160" w:type="dxa"/>
            <w:tcMar>
              <w:top w:w="0"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Modřice - CTPark</w:t>
            </w:r>
          </w:p>
        </w:tc>
        <w:tc>
          <w:tcPr>
            <w:tcW w:w="3240"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pneumatické komponenty a systémy průmyslové automatizace</w:t>
            </w:r>
          </w:p>
        </w:tc>
        <w:tc>
          <w:tcPr>
            <w:tcW w:w="717"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2002</w:t>
            </w:r>
          </w:p>
        </w:tc>
      </w:tr>
      <w:tr w:rsidR="00DF128A" w:rsidRPr="00DF128A" w:rsidTr="00DF128A">
        <w:trPr>
          <w:cantSplit/>
          <w:trHeight w:val="284"/>
        </w:trPr>
        <w:tc>
          <w:tcPr>
            <w:tcW w:w="2880" w:type="dxa"/>
            <w:noWrap/>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 xml:space="preserve">Logica CMG (UK) </w:t>
            </w:r>
          </w:p>
        </w:tc>
        <w:tc>
          <w:tcPr>
            <w:tcW w:w="2160" w:type="dxa"/>
            <w:tcMar>
              <w:top w:w="0"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Brno - střed</w:t>
            </w:r>
          </w:p>
        </w:tc>
        <w:tc>
          <w:tcPr>
            <w:tcW w:w="3240"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vývoj a výzkum software</w:t>
            </w:r>
          </w:p>
        </w:tc>
        <w:tc>
          <w:tcPr>
            <w:tcW w:w="717"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2002</w:t>
            </w:r>
          </w:p>
        </w:tc>
      </w:tr>
      <w:tr w:rsidR="00DF128A" w:rsidRPr="00DF128A" w:rsidTr="00DF128A">
        <w:trPr>
          <w:cantSplit/>
          <w:trHeight w:val="284"/>
        </w:trPr>
        <w:tc>
          <w:tcPr>
            <w:tcW w:w="2880" w:type="dxa"/>
            <w:noWrap/>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Andrew Corporation (USA)</w:t>
            </w:r>
          </w:p>
        </w:tc>
        <w:tc>
          <w:tcPr>
            <w:tcW w:w="2160" w:type="dxa"/>
            <w:tcMar>
              <w:top w:w="0"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Modřice - CTPark</w:t>
            </w:r>
          </w:p>
        </w:tc>
        <w:tc>
          <w:tcPr>
            <w:tcW w:w="3240"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vysokofrekvenční systémy pro bezdrátovou komunikaci</w:t>
            </w:r>
          </w:p>
        </w:tc>
        <w:tc>
          <w:tcPr>
            <w:tcW w:w="717"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2003</w:t>
            </w:r>
          </w:p>
        </w:tc>
      </w:tr>
      <w:tr w:rsidR="00DF128A" w:rsidRPr="00DF128A" w:rsidTr="00DF128A">
        <w:trPr>
          <w:cantSplit/>
          <w:trHeight w:val="284"/>
        </w:trPr>
        <w:tc>
          <w:tcPr>
            <w:tcW w:w="2880" w:type="dxa"/>
            <w:noWrap/>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 xml:space="preserve">Danaher Motion (USA) </w:t>
            </w:r>
          </w:p>
        </w:tc>
        <w:tc>
          <w:tcPr>
            <w:tcW w:w="2160" w:type="dxa"/>
            <w:tcMar>
              <w:top w:w="0"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Modřice - CTPark</w:t>
            </w:r>
          </w:p>
        </w:tc>
        <w:tc>
          <w:tcPr>
            <w:tcW w:w="3240"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přesné pohonné systémy</w:t>
            </w:r>
          </w:p>
        </w:tc>
        <w:tc>
          <w:tcPr>
            <w:tcW w:w="717"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2003</w:t>
            </w:r>
          </w:p>
        </w:tc>
      </w:tr>
      <w:tr w:rsidR="00DF128A" w:rsidRPr="00DF128A" w:rsidTr="00DF128A">
        <w:trPr>
          <w:cantSplit/>
          <w:trHeight w:val="284"/>
        </w:trPr>
        <w:tc>
          <w:tcPr>
            <w:tcW w:w="2880" w:type="dxa"/>
            <w:noWrap/>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Honeywell (USA)</w:t>
            </w:r>
          </w:p>
        </w:tc>
        <w:tc>
          <w:tcPr>
            <w:tcW w:w="2160" w:type="dxa"/>
            <w:tcMar>
              <w:top w:w="0"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Černovická terasa</w:t>
            </w:r>
          </w:p>
        </w:tc>
        <w:tc>
          <w:tcPr>
            <w:tcW w:w="3240"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divize průmyslové automatizace a řízení, design centrum</w:t>
            </w:r>
          </w:p>
        </w:tc>
        <w:tc>
          <w:tcPr>
            <w:tcW w:w="717"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2003</w:t>
            </w:r>
          </w:p>
        </w:tc>
      </w:tr>
      <w:tr w:rsidR="00DF128A" w:rsidRPr="00DF128A" w:rsidTr="00DF128A">
        <w:trPr>
          <w:cantSplit/>
          <w:trHeight w:val="284"/>
        </w:trPr>
        <w:tc>
          <w:tcPr>
            <w:tcW w:w="2880" w:type="dxa"/>
            <w:noWrap/>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 xml:space="preserve">Mergon International (Irs.) </w:t>
            </w:r>
          </w:p>
        </w:tc>
        <w:tc>
          <w:tcPr>
            <w:tcW w:w="2160" w:type="dxa"/>
            <w:tcMar>
              <w:top w:w="0"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Modřice - CTPark</w:t>
            </w:r>
          </w:p>
        </w:tc>
        <w:tc>
          <w:tcPr>
            <w:tcW w:w="3240"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výroba pneumatických komponentů</w:t>
            </w:r>
          </w:p>
        </w:tc>
        <w:tc>
          <w:tcPr>
            <w:tcW w:w="717"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2003</w:t>
            </w:r>
          </w:p>
        </w:tc>
      </w:tr>
      <w:tr w:rsidR="00DF128A" w:rsidRPr="00DF128A" w:rsidTr="00DF128A">
        <w:trPr>
          <w:cantSplit/>
          <w:trHeight w:val="284"/>
        </w:trPr>
        <w:tc>
          <w:tcPr>
            <w:tcW w:w="2880" w:type="dxa"/>
            <w:noWrap/>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Aguna (Švýc.)</w:t>
            </w:r>
          </w:p>
        </w:tc>
        <w:tc>
          <w:tcPr>
            <w:tcW w:w="2160" w:type="dxa"/>
            <w:tcMar>
              <w:top w:w="0"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Černovická terasa</w:t>
            </w:r>
          </w:p>
        </w:tc>
        <w:tc>
          <w:tcPr>
            <w:tcW w:w="3240"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přesné strojírenství</w:t>
            </w:r>
          </w:p>
        </w:tc>
        <w:tc>
          <w:tcPr>
            <w:tcW w:w="717"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2004</w:t>
            </w:r>
          </w:p>
        </w:tc>
      </w:tr>
      <w:tr w:rsidR="00DF128A" w:rsidRPr="00DF128A" w:rsidTr="00DF128A">
        <w:trPr>
          <w:cantSplit/>
          <w:trHeight w:val="284"/>
        </w:trPr>
        <w:tc>
          <w:tcPr>
            <w:tcW w:w="2880" w:type="dxa"/>
            <w:noWrap/>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 xml:space="preserve">Kompan (Dán.) </w:t>
            </w:r>
          </w:p>
        </w:tc>
        <w:tc>
          <w:tcPr>
            <w:tcW w:w="2160" w:type="dxa"/>
            <w:tcMar>
              <w:top w:w="0"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Modřice - CTPark</w:t>
            </w:r>
          </w:p>
        </w:tc>
        <w:tc>
          <w:tcPr>
            <w:tcW w:w="3240"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plastové doplňky pro dětská hřiště</w:t>
            </w:r>
          </w:p>
        </w:tc>
        <w:tc>
          <w:tcPr>
            <w:tcW w:w="717"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2004</w:t>
            </w:r>
          </w:p>
        </w:tc>
      </w:tr>
      <w:tr w:rsidR="00DF128A" w:rsidRPr="00DF128A" w:rsidTr="00DF128A">
        <w:trPr>
          <w:cantSplit/>
          <w:trHeight w:val="284"/>
        </w:trPr>
        <w:tc>
          <w:tcPr>
            <w:tcW w:w="2880" w:type="dxa"/>
            <w:noWrap/>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 xml:space="preserve">Progeon (Ind.) </w:t>
            </w:r>
          </w:p>
        </w:tc>
        <w:tc>
          <w:tcPr>
            <w:tcW w:w="2160" w:type="dxa"/>
            <w:tcMar>
              <w:top w:w="0"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Brno - střed</w:t>
            </w:r>
          </w:p>
        </w:tc>
        <w:tc>
          <w:tcPr>
            <w:tcW w:w="3240"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outsourcingové centrum</w:t>
            </w:r>
          </w:p>
        </w:tc>
        <w:tc>
          <w:tcPr>
            <w:tcW w:w="717"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2004</w:t>
            </w:r>
          </w:p>
        </w:tc>
      </w:tr>
      <w:tr w:rsidR="00DF128A" w:rsidRPr="00DF128A" w:rsidTr="00DF128A">
        <w:trPr>
          <w:cantSplit/>
          <w:trHeight w:val="284"/>
        </w:trPr>
        <w:tc>
          <w:tcPr>
            <w:tcW w:w="2880" w:type="dxa"/>
            <w:noWrap/>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Symbol Technologies (USA)</w:t>
            </w:r>
          </w:p>
        </w:tc>
        <w:tc>
          <w:tcPr>
            <w:tcW w:w="2160" w:type="dxa"/>
            <w:tcMar>
              <w:top w:w="0"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Technologický park</w:t>
            </w:r>
          </w:p>
        </w:tc>
        <w:tc>
          <w:tcPr>
            <w:tcW w:w="3240"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opravárenské centrum, centrum sdílených služeb</w:t>
            </w:r>
          </w:p>
        </w:tc>
        <w:tc>
          <w:tcPr>
            <w:tcW w:w="717"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2004</w:t>
            </w:r>
          </w:p>
        </w:tc>
      </w:tr>
      <w:tr w:rsidR="00DF128A" w:rsidRPr="00DF128A" w:rsidTr="00DF128A">
        <w:trPr>
          <w:cantSplit/>
          <w:trHeight w:val="284"/>
        </w:trPr>
        <w:tc>
          <w:tcPr>
            <w:tcW w:w="2880" w:type="dxa"/>
            <w:noWrap/>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Tyco (USA)</w:t>
            </w:r>
          </w:p>
        </w:tc>
        <w:tc>
          <w:tcPr>
            <w:tcW w:w="2160" w:type="dxa"/>
            <w:tcMar>
              <w:top w:w="0"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Modřice - CTPark</w:t>
            </w:r>
          </w:p>
        </w:tc>
        <w:tc>
          <w:tcPr>
            <w:tcW w:w="3240"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výzkumné a vývojové centrum</w:t>
            </w:r>
          </w:p>
        </w:tc>
        <w:tc>
          <w:tcPr>
            <w:tcW w:w="717"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2004</w:t>
            </w:r>
          </w:p>
        </w:tc>
      </w:tr>
      <w:tr w:rsidR="00DF128A" w:rsidRPr="00DF128A" w:rsidTr="00DF128A">
        <w:trPr>
          <w:cantSplit/>
          <w:trHeight w:val="284"/>
        </w:trPr>
        <w:tc>
          <w:tcPr>
            <w:tcW w:w="2880" w:type="dxa"/>
            <w:noWrap/>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Acer (Tai.)</w:t>
            </w:r>
          </w:p>
        </w:tc>
        <w:tc>
          <w:tcPr>
            <w:tcW w:w="2160" w:type="dxa"/>
            <w:tcMar>
              <w:top w:w="0"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Černovická terasa</w:t>
            </w:r>
          </w:p>
        </w:tc>
        <w:tc>
          <w:tcPr>
            <w:tcW w:w="3240"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opravárenské centrum, call centrum</w:t>
            </w:r>
          </w:p>
        </w:tc>
        <w:tc>
          <w:tcPr>
            <w:tcW w:w="717"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2005</w:t>
            </w:r>
          </w:p>
        </w:tc>
      </w:tr>
      <w:tr w:rsidR="00DF128A" w:rsidRPr="00DF128A" w:rsidTr="00DF128A">
        <w:trPr>
          <w:cantSplit/>
          <w:trHeight w:val="284"/>
        </w:trPr>
        <w:tc>
          <w:tcPr>
            <w:tcW w:w="2880" w:type="dxa"/>
            <w:noWrap/>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 xml:space="preserve">BenQ (Tai.) </w:t>
            </w:r>
          </w:p>
        </w:tc>
        <w:tc>
          <w:tcPr>
            <w:tcW w:w="2160" w:type="dxa"/>
            <w:tcMar>
              <w:top w:w="0"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Brno - jih</w:t>
            </w:r>
          </w:p>
        </w:tc>
        <w:tc>
          <w:tcPr>
            <w:tcW w:w="3240"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elektronika</w:t>
            </w:r>
          </w:p>
        </w:tc>
        <w:tc>
          <w:tcPr>
            <w:tcW w:w="717"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2005</w:t>
            </w:r>
          </w:p>
        </w:tc>
      </w:tr>
      <w:tr w:rsidR="00DF128A" w:rsidRPr="00DF128A" w:rsidTr="00DF128A">
        <w:trPr>
          <w:cantSplit/>
          <w:trHeight w:val="284"/>
        </w:trPr>
        <w:tc>
          <w:tcPr>
            <w:tcW w:w="2880" w:type="dxa"/>
            <w:noWrap/>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 xml:space="preserve">Daido Metal (Jap.) </w:t>
            </w:r>
          </w:p>
        </w:tc>
        <w:tc>
          <w:tcPr>
            <w:tcW w:w="2160" w:type="dxa"/>
            <w:tcMar>
              <w:top w:w="0"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Černovická terasa</w:t>
            </w:r>
          </w:p>
        </w:tc>
        <w:tc>
          <w:tcPr>
            <w:tcW w:w="3240"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komponenty pro automobilový průmysl</w:t>
            </w:r>
          </w:p>
        </w:tc>
        <w:tc>
          <w:tcPr>
            <w:tcW w:w="717" w:type="dxa"/>
            <w:tcMar>
              <w:top w:w="15" w:type="dxa"/>
              <w:left w:w="15" w:type="dxa"/>
              <w:bottom w:w="0" w:type="dxa"/>
              <w:right w:w="15" w:type="dxa"/>
            </w:tcMar>
            <w:vAlign w:val="center"/>
          </w:tcPr>
          <w:p w:rsidR="00DF128A" w:rsidRPr="00EE0CF5" w:rsidRDefault="00DF128A" w:rsidP="00777113">
            <w:pPr>
              <w:pStyle w:val="Nadpis4"/>
              <w:keepNext w:val="0"/>
              <w:widowControl w:val="0"/>
              <w:numPr>
                <w:ilvl w:val="0"/>
                <w:numId w:val="0"/>
              </w:numPr>
              <w:spacing w:before="0" w:after="0"/>
              <w:jc w:val="center"/>
              <w:rPr>
                <w:rFonts w:asciiTheme="minorHAnsi" w:hAnsiTheme="minorHAnsi" w:cstheme="minorHAnsi"/>
                <w:b w:val="0"/>
                <w:sz w:val="20"/>
                <w:szCs w:val="20"/>
              </w:rPr>
            </w:pPr>
            <w:r w:rsidRPr="00EE0CF5">
              <w:rPr>
                <w:rFonts w:asciiTheme="minorHAnsi" w:hAnsiTheme="minorHAnsi" w:cstheme="minorHAnsi"/>
                <w:b w:val="0"/>
                <w:sz w:val="20"/>
                <w:szCs w:val="20"/>
              </w:rPr>
              <w:t>2005</w:t>
            </w:r>
          </w:p>
        </w:tc>
      </w:tr>
      <w:tr w:rsidR="00DF128A" w:rsidRPr="00DF128A" w:rsidTr="00DF128A">
        <w:trPr>
          <w:cantSplit/>
          <w:trHeight w:val="284"/>
        </w:trPr>
        <w:tc>
          <w:tcPr>
            <w:tcW w:w="2880" w:type="dxa"/>
            <w:noWrap/>
            <w:vAlign w:val="center"/>
          </w:tcPr>
          <w:p w:rsidR="00DF128A" w:rsidRPr="00EE0CF5" w:rsidRDefault="00DF128A" w:rsidP="00777113">
            <w:pPr>
              <w:pStyle w:val="tabulka"/>
              <w:widowControl w:val="0"/>
              <w:jc w:val="center"/>
              <w:rPr>
                <w:rFonts w:asciiTheme="minorHAnsi" w:hAnsiTheme="minorHAnsi" w:cstheme="minorHAnsi"/>
                <w:szCs w:val="20"/>
              </w:rPr>
            </w:pPr>
            <w:r w:rsidRPr="00EE0CF5">
              <w:rPr>
                <w:rFonts w:asciiTheme="minorHAnsi" w:hAnsiTheme="minorHAnsi" w:cstheme="minorHAnsi"/>
                <w:szCs w:val="20"/>
              </w:rPr>
              <w:t>Daikin (Jap.)</w:t>
            </w:r>
          </w:p>
        </w:tc>
        <w:tc>
          <w:tcPr>
            <w:tcW w:w="2160" w:type="dxa"/>
            <w:tcMar>
              <w:top w:w="0" w:type="dxa"/>
              <w:left w:w="15" w:type="dxa"/>
              <w:bottom w:w="0" w:type="dxa"/>
              <w:right w:w="15" w:type="dxa"/>
            </w:tcMar>
            <w:vAlign w:val="center"/>
          </w:tcPr>
          <w:p w:rsidR="00DF128A" w:rsidRPr="00EE0CF5" w:rsidRDefault="00DF128A" w:rsidP="00777113">
            <w:pPr>
              <w:pStyle w:val="tabulka"/>
              <w:widowControl w:val="0"/>
              <w:jc w:val="center"/>
              <w:rPr>
                <w:rFonts w:asciiTheme="minorHAnsi" w:hAnsiTheme="minorHAnsi" w:cstheme="minorHAnsi"/>
                <w:szCs w:val="20"/>
              </w:rPr>
            </w:pPr>
            <w:r w:rsidRPr="00EE0CF5">
              <w:rPr>
                <w:rFonts w:asciiTheme="minorHAnsi" w:hAnsiTheme="minorHAnsi" w:cstheme="minorHAnsi"/>
                <w:szCs w:val="20"/>
              </w:rPr>
              <w:t>Černovická terasa</w:t>
            </w:r>
          </w:p>
        </w:tc>
        <w:tc>
          <w:tcPr>
            <w:tcW w:w="3240" w:type="dxa"/>
            <w:tcMar>
              <w:top w:w="15" w:type="dxa"/>
              <w:left w:w="15" w:type="dxa"/>
              <w:bottom w:w="0" w:type="dxa"/>
              <w:right w:w="15" w:type="dxa"/>
            </w:tcMar>
            <w:vAlign w:val="center"/>
          </w:tcPr>
          <w:p w:rsidR="00DF128A" w:rsidRPr="00EE0CF5" w:rsidRDefault="00DF128A" w:rsidP="00777113">
            <w:pPr>
              <w:pStyle w:val="tabulka"/>
              <w:widowControl w:val="0"/>
              <w:jc w:val="center"/>
              <w:rPr>
                <w:rFonts w:asciiTheme="minorHAnsi" w:hAnsiTheme="minorHAnsi" w:cstheme="minorHAnsi"/>
                <w:szCs w:val="20"/>
              </w:rPr>
            </w:pPr>
            <w:r w:rsidRPr="00EE0CF5">
              <w:rPr>
                <w:rFonts w:asciiTheme="minorHAnsi" w:hAnsiTheme="minorHAnsi" w:cstheme="minorHAnsi"/>
                <w:szCs w:val="20"/>
              </w:rPr>
              <w:t>kompresorové jednotky</w:t>
            </w:r>
          </w:p>
        </w:tc>
        <w:tc>
          <w:tcPr>
            <w:tcW w:w="717" w:type="dxa"/>
            <w:tcMar>
              <w:top w:w="15" w:type="dxa"/>
              <w:left w:w="15" w:type="dxa"/>
              <w:bottom w:w="0" w:type="dxa"/>
              <w:right w:w="15" w:type="dxa"/>
            </w:tcMar>
            <w:vAlign w:val="center"/>
          </w:tcPr>
          <w:p w:rsidR="00DF128A" w:rsidRPr="00EE0CF5" w:rsidRDefault="00DF128A" w:rsidP="00777113">
            <w:pPr>
              <w:pStyle w:val="tabulka"/>
              <w:widowControl w:val="0"/>
              <w:jc w:val="center"/>
              <w:rPr>
                <w:rFonts w:asciiTheme="minorHAnsi" w:hAnsiTheme="minorHAnsi" w:cstheme="minorHAnsi"/>
                <w:szCs w:val="20"/>
              </w:rPr>
            </w:pPr>
            <w:r w:rsidRPr="00EE0CF5">
              <w:rPr>
                <w:rFonts w:asciiTheme="minorHAnsi" w:hAnsiTheme="minorHAnsi" w:cstheme="minorHAnsi"/>
                <w:szCs w:val="20"/>
              </w:rPr>
              <w:t>2005</w:t>
            </w:r>
          </w:p>
        </w:tc>
      </w:tr>
      <w:tr w:rsidR="00DF128A" w:rsidRPr="00DF128A" w:rsidTr="00DF128A">
        <w:trPr>
          <w:cantSplit/>
          <w:trHeight w:val="284"/>
        </w:trPr>
        <w:tc>
          <w:tcPr>
            <w:tcW w:w="2880" w:type="dxa"/>
            <w:noWrap/>
            <w:vAlign w:val="center"/>
          </w:tcPr>
          <w:p w:rsidR="00DF128A" w:rsidRPr="00EE0CF5" w:rsidRDefault="00DF128A" w:rsidP="00777113">
            <w:pPr>
              <w:pStyle w:val="tabulka"/>
              <w:widowControl w:val="0"/>
              <w:jc w:val="center"/>
              <w:rPr>
                <w:rFonts w:asciiTheme="minorHAnsi" w:eastAsia="Arial Unicode MS" w:hAnsiTheme="minorHAnsi" w:cstheme="minorHAnsi"/>
                <w:szCs w:val="20"/>
              </w:rPr>
            </w:pPr>
            <w:r w:rsidRPr="00EE0CF5">
              <w:rPr>
                <w:rFonts w:asciiTheme="minorHAnsi" w:hAnsiTheme="minorHAnsi" w:cstheme="minorHAnsi"/>
                <w:szCs w:val="20"/>
              </w:rPr>
              <w:t xml:space="preserve">GigaByte Technology (Tai.) </w:t>
            </w:r>
          </w:p>
        </w:tc>
        <w:tc>
          <w:tcPr>
            <w:tcW w:w="2160" w:type="dxa"/>
            <w:tcMar>
              <w:top w:w="0" w:type="dxa"/>
              <w:left w:w="15" w:type="dxa"/>
              <w:bottom w:w="0" w:type="dxa"/>
              <w:right w:w="15" w:type="dxa"/>
            </w:tcMar>
            <w:vAlign w:val="center"/>
          </w:tcPr>
          <w:p w:rsidR="00DF128A" w:rsidRPr="00EE0CF5" w:rsidRDefault="00DF128A" w:rsidP="00777113">
            <w:pPr>
              <w:pStyle w:val="tabulka"/>
              <w:widowControl w:val="0"/>
              <w:jc w:val="center"/>
              <w:rPr>
                <w:rFonts w:asciiTheme="minorHAnsi" w:eastAsia="Arial Unicode MS" w:hAnsiTheme="minorHAnsi" w:cstheme="minorHAnsi"/>
                <w:szCs w:val="20"/>
              </w:rPr>
            </w:pPr>
            <w:r w:rsidRPr="00EE0CF5">
              <w:rPr>
                <w:rFonts w:asciiTheme="minorHAnsi" w:hAnsiTheme="minorHAnsi" w:cstheme="minorHAnsi"/>
                <w:szCs w:val="20"/>
              </w:rPr>
              <w:t>Černovická terasa</w:t>
            </w:r>
          </w:p>
        </w:tc>
        <w:tc>
          <w:tcPr>
            <w:tcW w:w="3240" w:type="dxa"/>
            <w:tcMar>
              <w:top w:w="15" w:type="dxa"/>
              <w:left w:w="15" w:type="dxa"/>
              <w:bottom w:w="0" w:type="dxa"/>
              <w:right w:w="15" w:type="dxa"/>
            </w:tcMar>
            <w:vAlign w:val="center"/>
          </w:tcPr>
          <w:p w:rsidR="00DF128A" w:rsidRPr="00EE0CF5" w:rsidRDefault="00DF128A" w:rsidP="00777113">
            <w:pPr>
              <w:pStyle w:val="tabulka"/>
              <w:widowControl w:val="0"/>
              <w:jc w:val="center"/>
              <w:rPr>
                <w:rFonts w:asciiTheme="minorHAnsi" w:eastAsia="Arial Unicode MS" w:hAnsiTheme="minorHAnsi" w:cstheme="minorHAnsi"/>
                <w:szCs w:val="20"/>
              </w:rPr>
            </w:pPr>
            <w:r w:rsidRPr="00EE0CF5">
              <w:rPr>
                <w:rFonts w:asciiTheme="minorHAnsi" w:hAnsiTheme="minorHAnsi" w:cstheme="minorHAnsi"/>
                <w:szCs w:val="20"/>
              </w:rPr>
              <w:t>hi-tech opravárenské centrum pro IT</w:t>
            </w:r>
          </w:p>
        </w:tc>
        <w:tc>
          <w:tcPr>
            <w:tcW w:w="717" w:type="dxa"/>
            <w:tcMar>
              <w:top w:w="15" w:type="dxa"/>
              <w:left w:w="15" w:type="dxa"/>
              <w:bottom w:w="0" w:type="dxa"/>
              <w:right w:w="15" w:type="dxa"/>
            </w:tcMar>
            <w:vAlign w:val="center"/>
          </w:tcPr>
          <w:p w:rsidR="00DF128A" w:rsidRPr="00EE0CF5" w:rsidRDefault="00DF128A" w:rsidP="00777113">
            <w:pPr>
              <w:pStyle w:val="tabulka"/>
              <w:widowControl w:val="0"/>
              <w:jc w:val="center"/>
              <w:rPr>
                <w:rFonts w:asciiTheme="minorHAnsi" w:eastAsia="Arial Unicode MS" w:hAnsiTheme="minorHAnsi" w:cstheme="minorHAnsi"/>
                <w:szCs w:val="20"/>
              </w:rPr>
            </w:pPr>
            <w:r w:rsidRPr="00EE0CF5">
              <w:rPr>
                <w:rFonts w:asciiTheme="minorHAnsi" w:hAnsiTheme="minorHAnsi" w:cstheme="minorHAnsi"/>
                <w:szCs w:val="20"/>
              </w:rPr>
              <w:t>2005</w:t>
            </w:r>
          </w:p>
        </w:tc>
      </w:tr>
      <w:tr w:rsidR="00DF128A" w:rsidRPr="00DF128A" w:rsidTr="00DF128A">
        <w:trPr>
          <w:cantSplit/>
          <w:trHeight w:val="284"/>
        </w:trPr>
        <w:tc>
          <w:tcPr>
            <w:tcW w:w="2880" w:type="dxa"/>
            <w:noWrap/>
            <w:vAlign w:val="center"/>
          </w:tcPr>
          <w:p w:rsidR="00DF128A" w:rsidRPr="00EE0CF5" w:rsidRDefault="00DF128A" w:rsidP="00777113">
            <w:pPr>
              <w:pStyle w:val="tabulka"/>
              <w:widowControl w:val="0"/>
              <w:jc w:val="center"/>
              <w:rPr>
                <w:rFonts w:asciiTheme="minorHAnsi" w:hAnsiTheme="minorHAnsi" w:cstheme="minorHAnsi"/>
                <w:szCs w:val="20"/>
              </w:rPr>
            </w:pPr>
            <w:r w:rsidRPr="00EE0CF5">
              <w:rPr>
                <w:rFonts w:asciiTheme="minorHAnsi" w:hAnsiTheme="minorHAnsi" w:cstheme="minorHAnsi"/>
                <w:szCs w:val="20"/>
              </w:rPr>
              <w:t>Lufthansa (Něm.)</w:t>
            </w:r>
          </w:p>
        </w:tc>
        <w:tc>
          <w:tcPr>
            <w:tcW w:w="2160" w:type="dxa"/>
            <w:tcMar>
              <w:top w:w="0" w:type="dxa"/>
              <w:left w:w="15" w:type="dxa"/>
              <w:bottom w:w="0" w:type="dxa"/>
              <w:right w:w="15" w:type="dxa"/>
            </w:tcMar>
            <w:vAlign w:val="center"/>
          </w:tcPr>
          <w:p w:rsidR="00DF128A" w:rsidRPr="00EE0CF5" w:rsidRDefault="00DF128A" w:rsidP="00777113">
            <w:pPr>
              <w:pStyle w:val="tabulka"/>
              <w:widowControl w:val="0"/>
              <w:jc w:val="center"/>
              <w:rPr>
                <w:rFonts w:asciiTheme="minorHAnsi" w:hAnsiTheme="minorHAnsi" w:cstheme="minorHAnsi"/>
                <w:szCs w:val="20"/>
              </w:rPr>
            </w:pPr>
            <w:r w:rsidRPr="00EE0CF5">
              <w:rPr>
                <w:rFonts w:asciiTheme="minorHAnsi" w:hAnsiTheme="minorHAnsi" w:cstheme="minorHAnsi"/>
                <w:szCs w:val="20"/>
              </w:rPr>
              <w:t>SpielberkOffice Centrum</w:t>
            </w:r>
          </w:p>
        </w:tc>
        <w:tc>
          <w:tcPr>
            <w:tcW w:w="3240" w:type="dxa"/>
            <w:tcMar>
              <w:top w:w="15" w:type="dxa"/>
              <w:left w:w="15" w:type="dxa"/>
              <w:bottom w:w="0" w:type="dxa"/>
              <w:right w:w="15" w:type="dxa"/>
            </w:tcMar>
            <w:vAlign w:val="center"/>
          </w:tcPr>
          <w:p w:rsidR="00DF128A" w:rsidRPr="00EE0CF5" w:rsidRDefault="00DF128A" w:rsidP="00777113">
            <w:pPr>
              <w:pStyle w:val="tabulka"/>
              <w:widowControl w:val="0"/>
              <w:jc w:val="center"/>
              <w:rPr>
                <w:rFonts w:asciiTheme="minorHAnsi" w:hAnsiTheme="minorHAnsi" w:cstheme="minorHAnsi"/>
                <w:szCs w:val="20"/>
              </w:rPr>
            </w:pPr>
            <w:r w:rsidRPr="00EE0CF5">
              <w:rPr>
                <w:rFonts w:asciiTheme="minorHAnsi" w:hAnsiTheme="minorHAnsi" w:cstheme="minorHAnsi"/>
                <w:szCs w:val="20"/>
              </w:rPr>
              <w:t>call centrum</w:t>
            </w:r>
          </w:p>
        </w:tc>
        <w:tc>
          <w:tcPr>
            <w:tcW w:w="717" w:type="dxa"/>
            <w:tcMar>
              <w:top w:w="15" w:type="dxa"/>
              <w:left w:w="15" w:type="dxa"/>
              <w:bottom w:w="0" w:type="dxa"/>
              <w:right w:w="15" w:type="dxa"/>
            </w:tcMar>
            <w:vAlign w:val="center"/>
          </w:tcPr>
          <w:p w:rsidR="00DF128A" w:rsidRPr="00EE0CF5" w:rsidRDefault="00DF128A" w:rsidP="00777113">
            <w:pPr>
              <w:pStyle w:val="tabulka"/>
              <w:widowControl w:val="0"/>
              <w:jc w:val="center"/>
              <w:rPr>
                <w:rFonts w:asciiTheme="minorHAnsi" w:hAnsiTheme="minorHAnsi" w:cstheme="minorHAnsi"/>
                <w:szCs w:val="20"/>
              </w:rPr>
            </w:pPr>
            <w:r w:rsidRPr="00EE0CF5">
              <w:rPr>
                <w:rFonts w:asciiTheme="minorHAnsi" w:hAnsiTheme="minorHAnsi" w:cstheme="minorHAnsi"/>
                <w:szCs w:val="20"/>
              </w:rPr>
              <w:t>2005</w:t>
            </w:r>
          </w:p>
        </w:tc>
      </w:tr>
      <w:tr w:rsidR="00DF128A" w:rsidRPr="00DF128A" w:rsidTr="00DF128A">
        <w:trPr>
          <w:cantSplit/>
          <w:trHeight w:val="284"/>
        </w:trPr>
        <w:tc>
          <w:tcPr>
            <w:tcW w:w="2880" w:type="dxa"/>
            <w:noWrap/>
            <w:vAlign w:val="center"/>
          </w:tcPr>
          <w:p w:rsidR="00DF128A" w:rsidRPr="00EE0CF5" w:rsidRDefault="00DF128A" w:rsidP="00777113">
            <w:pPr>
              <w:pStyle w:val="tabulka"/>
              <w:widowControl w:val="0"/>
              <w:jc w:val="center"/>
              <w:rPr>
                <w:rFonts w:asciiTheme="minorHAnsi" w:eastAsia="Arial Unicode MS" w:hAnsiTheme="minorHAnsi" w:cstheme="minorHAnsi"/>
                <w:szCs w:val="20"/>
              </w:rPr>
            </w:pPr>
            <w:r w:rsidRPr="00EE0CF5">
              <w:rPr>
                <w:rFonts w:asciiTheme="minorHAnsi" w:hAnsiTheme="minorHAnsi" w:cstheme="minorHAnsi"/>
                <w:szCs w:val="20"/>
              </w:rPr>
              <w:t>Ohmori Technos Corporation (Jap.)</w:t>
            </w:r>
          </w:p>
        </w:tc>
        <w:tc>
          <w:tcPr>
            <w:tcW w:w="2160" w:type="dxa"/>
            <w:tcMar>
              <w:top w:w="0" w:type="dxa"/>
              <w:left w:w="15" w:type="dxa"/>
              <w:bottom w:w="0" w:type="dxa"/>
              <w:right w:w="15" w:type="dxa"/>
            </w:tcMar>
            <w:vAlign w:val="center"/>
          </w:tcPr>
          <w:p w:rsidR="00DF128A" w:rsidRPr="00EE0CF5" w:rsidRDefault="00DF128A" w:rsidP="00777113">
            <w:pPr>
              <w:pStyle w:val="tabulka"/>
              <w:widowControl w:val="0"/>
              <w:jc w:val="center"/>
              <w:rPr>
                <w:rFonts w:asciiTheme="minorHAnsi" w:eastAsia="Arial Unicode MS" w:hAnsiTheme="minorHAnsi" w:cstheme="minorHAnsi"/>
                <w:szCs w:val="20"/>
              </w:rPr>
            </w:pPr>
            <w:r w:rsidRPr="00EE0CF5">
              <w:rPr>
                <w:rFonts w:asciiTheme="minorHAnsi" w:hAnsiTheme="minorHAnsi" w:cstheme="minorHAnsi"/>
                <w:szCs w:val="20"/>
              </w:rPr>
              <w:t>Černovická terasa</w:t>
            </w:r>
          </w:p>
        </w:tc>
        <w:tc>
          <w:tcPr>
            <w:tcW w:w="3240" w:type="dxa"/>
            <w:tcMar>
              <w:top w:w="15" w:type="dxa"/>
              <w:left w:w="15" w:type="dxa"/>
              <w:bottom w:w="0" w:type="dxa"/>
              <w:right w:w="15" w:type="dxa"/>
            </w:tcMar>
            <w:vAlign w:val="center"/>
          </w:tcPr>
          <w:p w:rsidR="00DF128A" w:rsidRPr="00EE0CF5" w:rsidRDefault="00DF128A" w:rsidP="00777113">
            <w:pPr>
              <w:pStyle w:val="tabulka"/>
              <w:widowControl w:val="0"/>
              <w:jc w:val="center"/>
              <w:rPr>
                <w:rFonts w:asciiTheme="minorHAnsi" w:eastAsia="Arial Unicode MS" w:hAnsiTheme="minorHAnsi" w:cstheme="minorHAnsi"/>
                <w:szCs w:val="20"/>
              </w:rPr>
            </w:pPr>
            <w:r w:rsidRPr="00EE0CF5">
              <w:rPr>
                <w:rFonts w:asciiTheme="minorHAnsi" w:hAnsiTheme="minorHAnsi" w:cstheme="minorHAnsi"/>
                <w:szCs w:val="20"/>
              </w:rPr>
              <w:t>klimatizační systémy</w:t>
            </w:r>
          </w:p>
        </w:tc>
        <w:tc>
          <w:tcPr>
            <w:tcW w:w="717" w:type="dxa"/>
            <w:tcMar>
              <w:top w:w="15" w:type="dxa"/>
              <w:left w:w="15" w:type="dxa"/>
              <w:bottom w:w="0" w:type="dxa"/>
              <w:right w:w="15" w:type="dxa"/>
            </w:tcMar>
            <w:vAlign w:val="center"/>
          </w:tcPr>
          <w:p w:rsidR="00DF128A" w:rsidRPr="00EE0CF5" w:rsidRDefault="00DF128A" w:rsidP="00777113">
            <w:pPr>
              <w:pStyle w:val="tabulka"/>
              <w:widowControl w:val="0"/>
              <w:jc w:val="center"/>
              <w:rPr>
                <w:rFonts w:asciiTheme="minorHAnsi" w:eastAsia="Arial Unicode MS" w:hAnsiTheme="minorHAnsi" w:cstheme="minorHAnsi"/>
                <w:szCs w:val="20"/>
              </w:rPr>
            </w:pPr>
            <w:r w:rsidRPr="00EE0CF5">
              <w:rPr>
                <w:rFonts w:asciiTheme="minorHAnsi" w:hAnsiTheme="minorHAnsi" w:cstheme="minorHAnsi"/>
                <w:szCs w:val="20"/>
              </w:rPr>
              <w:t>2005</w:t>
            </w:r>
          </w:p>
        </w:tc>
      </w:tr>
      <w:tr w:rsidR="00DF128A" w:rsidRPr="00DF128A" w:rsidTr="00DF128A">
        <w:trPr>
          <w:cantSplit/>
          <w:trHeight w:val="284"/>
        </w:trPr>
        <w:tc>
          <w:tcPr>
            <w:tcW w:w="2880" w:type="dxa"/>
            <w:noWrap/>
            <w:vAlign w:val="center"/>
          </w:tcPr>
          <w:p w:rsidR="00DF128A" w:rsidRPr="00EE0CF5" w:rsidRDefault="00DF128A" w:rsidP="00777113">
            <w:pPr>
              <w:pStyle w:val="tabulka"/>
              <w:widowControl w:val="0"/>
              <w:jc w:val="center"/>
              <w:rPr>
                <w:rFonts w:asciiTheme="minorHAnsi" w:eastAsia="Arial Unicode MS" w:hAnsiTheme="minorHAnsi" w:cstheme="minorHAnsi"/>
                <w:szCs w:val="20"/>
              </w:rPr>
            </w:pPr>
            <w:r w:rsidRPr="00EE0CF5">
              <w:rPr>
                <w:rFonts w:asciiTheme="minorHAnsi" w:hAnsiTheme="minorHAnsi" w:cstheme="minorHAnsi"/>
                <w:szCs w:val="20"/>
              </w:rPr>
              <w:t xml:space="preserve">Unimerco (Dan.) </w:t>
            </w:r>
          </w:p>
        </w:tc>
        <w:tc>
          <w:tcPr>
            <w:tcW w:w="2160" w:type="dxa"/>
            <w:tcMar>
              <w:top w:w="0" w:type="dxa"/>
              <w:left w:w="15" w:type="dxa"/>
              <w:bottom w:w="0" w:type="dxa"/>
              <w:right w:w="15" w:type="dxa"/>
            </w:tcMar>
            <w:vAlign w:val="center"/>
          </w:tcPr>
          <w:p w:rsidR="00DF128A" w:rsidRPr="00EE0CF5" w:rsidRDefault="00DF128A" w:rsidP="00777113">
            <w:pPr>
              <w:pStyle w:val="tabulka"/>
              <w:widowControl w:val="0"/>
              <w:jc w:val="center"/>
              <w:rPr>
                <w:rFonts w:asciiTheme="minorHAnsi" w:eastAsia="Arial Unicode MS" w:hAnsiTheme="minorHAnsi" w:cstheme="minorHAnsi"/>
                <w:szCs w:val="20"/>
              </w:rPr>
            </w:pPr>
            <w:r w:rsidRPr="00EE0CF5">
              <w:rPr>
                <w:rFonts w:asciiTheme="minorHAnsi" w:hAnsiTheme="minorHAnsi" w:cstheme="minorHAnsi"/>
                <w:szCs w:val="20"/>
              </w:rPr>
              <w:t>Brno-jih;</w:t>
            </w:r>
          </w:p>
        </w:tc>
        <w:tc>
          <w:tcPr>
            <w:tcW w:w="3240" w:type="dxa"/>
            <w:tcMar>
              <w:top w:w="15" w:type="dxa"/>
              <w:left w:w="15" w:type="dxa"/>
              <w:bottom w:w="0" w:type="dxa"/>
              <w:right w:w="15" w:type="dxa"/>
            </w:tcMar>
            <w:vAlign w:val="center"/>
          </w:tcPr>
          <w:p w:rsidR="00DF128A" w:rsidRPr="00EE0CF5" w:rsidRDefault="00DF128A" w:rsidP="00777113">
            <w:pPr>
              <w:pStyle w:val="tabulka"/>
              <w:widowControl w:val="0"/>
              <w:jc w:val="center"/>
              <w:rPr>
                <w:rFonts w:asciiTheme="minorHAnsi" w:eastAsia="Arial Unicode MS" w:hAnsiTheme="minorHAnsi" w:cstheme="minorHAnsi"/>
                <w:szCs w:val="20"/>
              </w:rPr>
            </w:pPr>
            <w:r w:rsidRPr="00EE0CF5">
              <w:rPr>
                <w:rFonts w:asciiTheme="minorHAnsi" w:hAnsiTheme="minorHAnsi" w:cstheme="minorHAnsi"/>
                <w:szCs w:val="20"/>
              </w:rPr>
              <w:t>přesné strojírenství</w:t>
            </w:r>
          </w:p>
        </w:tc>
        <w:tc>
          <w:tcPr>
            <w:tcW w:w="717" w:type="dxa"/>
            <w:tcMar>
              <w:top w:w="15" w:type="dxa"/>
              <w:left w:w="15" w:type="dxa"/>
              <w:bottom w:w="0" w:type="dxa"/>
              <w:right w:w="15" w:type="dxa"/>
            </w:tcMar>
            <w:vAlign w:val="center"/>
          </w:tcPr>
          <w:p w:rsidR="00DF128A" w:rsidRPr="00EE0CF5" w:rsidRDefault="00DF128A" w:rsidP="00777113">
            <w:pPr>
              <w:pStyle w:val="tabulka"/>
              <w:widowControl w:val="0"/>
              <w:jc w:val="center"/>
              <w:rPr>
                <w:rFonts w:asciiTheme="minorHAnsi" w:eastAsia="Arial Unicode MS" w:hAnsiTheme="minorHAnsi" w:cstheme="minorHAnsi"/>
                <w:szCs w:val="20"/>
              </w:rPr>
            </w:pPr>
            <w:r w:rsidRPr="00EE0CF5">
              <w:rPr>
                <w:rFonts w:asciiTheme="minorHAnsi" w:hAnsiTheme="minorHAnsi" w:cstheme="minorHAnsi"/>
                <w:szCs w:val="20"/>
              </w:rPr>
              <w:t>2005</w:t>
            </w:r>
          </w:p>
        </w:tc>
      </w:tr>
    </w:tbl>
    <w:p w:rsidR="00DF128A" w:rsidRPr="00777113" w:rsidRDefault="00777113" w:rsidP="00777113">
      <w:pPr>
        <w:widowControl w:val="0"/>
        <w:spacing w:line="276" w:lineRule="auto"/>
        <w:jc w:val="both"/>
        <w:rPr>
          <w:rFonts w:ascii="Times New Roman" w:hAnsi="Times New Roman" w:cs="Times New Roman"/>
          <w:i/>
          <w:sz w:val="20"/>
          <w:szCs w:val="20"/>
        </w:rPr>
      </w:pPr>
      <w:r>
        <w:rPr>
          <w:rFonts w:ascii="Times New Roman" w:hAnsi="Times New Roman" w:cs="Times New Roman"/>
          <w:i/>
          <w:sz w:val="20"/>
          <w:szCs w:val="20"/>
        </w:rPr>
        <w:t>Vlastní tabulka, zpracováno dle Vaška (2004)</w:t>
      </w:r>
    </w:p>
    <w:p w:rsidR="00777113" w:rsidRPr="00DF128A" w:rsidRDefault="00777113" w:rsidP="00777113">
      <w:pPr>
        <w:widowControl w:val="0"/>
        <w:spacing w:line="276" w:lineRule="auto"/>
        <w:jc w:val="both"/>
        <w:rPr>
          <w:rFonts w:ascii="Times New Roman" w:hAnsi="Times New Roman" w:cs="Times New Roman"/>
          <w:b/>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Celkově lze říci, že v modřické zóně poslední dobou jednoznačně začínají převažovat investoři z oblasti logistiky, distribuce a nájemci kancelářských prostor. Převažují zde americké firmy (v čele s Andrew Corporation, Tyco). Průmyslovou výrobu se snaží (a bude nadále snažit) CTP Project Invest pozvolna přesouvat na brněnskou Černovickou terasu, kde již také provozuje své aktivity. Má zde v pronájmu 360 000 m</w:t>
      </w:r>
      <w:r w:rsidRPr="00DF128A">
        <w:rPr>
          <w:rFonts w:ascii="Times New Roman" w:hAnsi="Times New Roman" w:cs="Times New Roman"/>
          <w:sz w:val="24"/>
          <w:szCs w:val="24"/>
          <w:vertAlign w:val="superscript"/>
        </w:rPr>
        <w:t xml:space="preserve">2 </w:t>
      </w:r>
      <w:r w:rsidRPr="00DF128A">
        <w:rPr>
          <w:rFonts w:ascii="Times New Roman" w:hAnsi="Times New Roman" w:cs="Times New Roman"/>
          <w:sz w:val="24"/>
          <w:szCs w:val="24"/>
        </w:rPr>
        <w:t>z celkové plochy 910 000 m</w:t>
      </w:r>
      <w:r w:rsidRPr="00DF128A">
        <w:rPr>
          <w:rFonts w:ascii="Times New Roman" w:hAnsi="Times New Roman" w:cs="Times New Roman"/>
          <w:sz w:val="24"/>
          <w:szCs w:val="24"/>
          <w:vertAlign w:val="superscript"/>
        </w:rPr>
        <w:t xml:space="preserve">2 </w:t>
      </w:r>
      <w:r w:rsidRPr="00DF128A">
        <w:rPr>
          <w:rFonts w:ascii="Times New Roman" w:hAnsi="Times New Roman" w:cs="Times New Roman"/>
          <w:sz w:val="24"/>
          <w:szCs w:val="24"/>
        </w:rPr>
        <w:t xml:space="preserve">ploch na brněnské Černovické terase. Vytvořila zde tak další ze svých strategických průmyslových parků pod názvem Central Trade Park Brno. V této zóně a v Černovické terase jsou upřednostňovány projekty z vybraných oborů zpracovatelského průmyslu – především projekty z oborů letectví, kosmonautiky, dopravních prostředků, výpočetní techniky, informačních technologií, elektroniky, telekomunikací a radiokomunikací, ale také z oblasti </w:t>
      </w:r>
      <w:r w:rsidRPr="00DF128A">
        <w:rPr>
          <w:rFonts w:ascii="Times New Roman" w:hAnsi="Times New Roman" w:cs="Times New Roman"/>
          <w:sz w:val="24"/>
          <w:szCs w:val="24"/>
        </w:rPr>
        <w:lastRenderedPageBreak/>
        <w:t>strategických služeb nebo vznik technologických center. V současné době sídlí v Černovické terase 10 zahraničních investorů, přičemž 5 jsou japonské firmy, dále německá, rakouská, švýcarská, britská a jedna americká.</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r w:rsidRPr="00DF128A">
        <w:rPr>
          <w:rFonts w:ascii="Times New Roman" w:hAnsi="Times New Roman" w:cs="Times New Roman"/>
          <w:sz w:val="24"/>
          <w:szCs w:val="24"/>
        </w:rPr>
        <w:t xml:space="preserve">LEIS Technology Center je víceúčelový areál zaměřený na moderní technologie, Areál o rozloze asi 4 hektary disponuje nadstandardními stavbami pro nejnáročnější klienty se zaměřením na hi-tech technologie (elektro, biotechnologie, přesné strojírenství) a nabízí k pronájmu výrobní, administrativní i komerční prostory. Tento areál se nachází v Brněnských Ivanovicích, v blízkosti důležitých dopravních uzlů – u dálniční křižovatky dálnic D1 a D2. </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r w:rsidRPr="00DF128A">
        <w:rPr>
          <w:rFonts w:ascii="Times New Roman" w:hAnsi="Times New Roman" w:cs="Times New Roman"/>
          <w:b/>
          <w:sz w:val="24"/>
          <w:szCs w:val="24"/>
        </w:rPr>
        <w:t>Přehled administrativních komplexů</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    * Areal Slatina</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    * Axis Office Park Modřice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    * Brno Business Park</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    * CD Palace Brno</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    * DIS centrum</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    * IBS Brno</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    * Lidická centrum Brno</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    * administrativní centrum Platinium Brno</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    * Spielberk Office Centre Brno</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    * Vienna Point Brno</w:t>
      </w:r>
    </w:p>
    <w:p w:rsidR="00DF128A" w:rsidRPr="00DF128A" w:rsidRDefault="00DF128A" w:rsidP="00DF128A">
      <w:pPr>
        <w:pStyle w:val="TEXTChar"/>
        <w:widowControl w:val="0"/>
        <w:spacing w:after="0" w:line="276" w:lineRule="auto"/>
        <w:ind w:firstLine="709"/>
        <w:rPr>
          <w:rFonts w:ascii="Times New Roman" w:hAnsi="Times New Roman" w:cs="Times New Roman"/>
          <w:sz w:val="24"/>
          <w:szCs w:val="24"/>
        </w:rPr>
      </w:pPr>
    </w:p>
    <w:p w:rsidR="00DF128A" w:rsidRPr="00DF128A" w:rsidRDefault="00DF128A" w:rsidP="00DF128A">
      <w:pPr>
        <w:pStyle w:val="TEXTChar"/>
        <w:widowControl w:val="0"/>
        <w:spacing w:after="0" w:line="276" w:lineRule="auto"/>
        <w:ind w:firstLine="709"/>
        <w:rPr>
          <w:rFonts w:ascii="Times New Roman" w:hAnsi="Times New Roman" w:cs="Times New Roman"/>
          <w:sz w:val="24"/>
          <w:szCs w:val="24"/>
        </w:rPr>
      </w:pPr>
      <w:r w:rsidRPr="00DF128A">
        <w:rPr>
          <w:rFonts w:ascii="Times New Roman" w:hAnsi="Times New Roman" w:cs="Times New Roman"/>
          <w:sz w:val="24"/>
          <w:szCs w:val="24"/>
        </w:rPr>
        <w:t xml:space="preserve">Co se týče struktury nájemců na brněnském kancelářském trhu pro něj charakteristická malá diverzifikovanost sektorů aktivit nájemců. Jak uvádí na základě vlastního průzkumu Vráblík (2007) ve své bakalářské práci, na trhu výrazně dominuje zastoupení nájemců ze sektoru IT (36%). Druhé v pořadí jsou nájemci sektoru bankovnictví a pojišťovnictví (22%) následované sektorem nájemců z finančních a profesionálních služeb (18%). Jen na tyto tři sektory připadá 76% celkové pronajaté plochy. I přes potenciál, který město Brno má, je evidováno nevýrazné zastoupení sektoru telekomunikací, reklamy a rovněž ze sektoru právnických služeb. </w:t>
      </w:r>
    </w:p>
    <w:p w:rsidR="00DF128A" w:rsidRPr="00DF128A" w:rsidRDefault="00DF128A" w:rsidP="00DF128A">
      <w:pPr>
        <w:pStyle w:val="TEXTChar"/>
        <w:widowControl w:val="0"/>
        <w:spacing w:after="0" w:line="276" w:lineRule="auto"/>
        <w:ind w:firstLine="709"/>
        <w:rPr>
          <w:rFonts w:ascii="Times New Roman" w:hAnsi="Times New Roman" w:cs="Times New Roman"/>
          <w:sz w:val="24"/>
          <w:szCs w:val="24"/>
        </w:rPr>
      </w:pPr>
      <w:r w:rsidRPr="00DF128A">
        <w:rPr>
          <w:rFonts w:ascii="Times New Roman" w:hAnsi="Times New Roman" w:cs="Times New Roman"/>
          <w:sz w:val="24"/>
          <w:szCs w:val="24"/>
        </w:rPr>
        <w:t>Nejvýznamnějším počinem na trhu s kancelářskými prostorami je v současné době rozbíhající se administrativní komplex Spielberk Office Centre Brno. Mezi klíčové nájemce komplexu patří společnosti Progeon a LogicaCMG. Každá z nich si pronajala jednu budovu o rozloze čtyři tisíce čtverečních metrů. Dalšími nájemci Spielberk Office Centra jsou: skupina AWD působící v oblasti nezávislého finančního poradenství; stavební firma Porr; poskytovatel IT řešení Cleverlance; finanční instituce jako jsou Citibank a GE Money Bank; outsourcingové call centrum pro The Source Network; společnost zabývající se vývojem softwareových a firemních informačních systémů DC Concept; a leasingová společnost Societe Generale Bank nebo německá letecká společnost Lufthansa a její call centrum pro střední a východní Evropu.</w:t>
      </w:r>
    </w:p>
    <w:p w:rsidR="00DF128A" w:rsidRPr="00DF128A" w:rsidRDefault="00DF128A" w:rsidP="00DF128A">
      <w:pPr>
        <w:pStyle w:val="TEXTChar"/>
        <w:widowControl w:val="0"/>
        <w:spacing w:after="0" w:line="276" w:lineRule="auto"/>
        <w:ind w:firstLine="709"/>
        <w:rPr>
          <w:rFonts w:ascii="Times New Roman" w:hAnsi="Times New Roman" w:cs="Times New Roman"/>
          <w:sz w:val="24"/>
          <w:szCs w:val="24"/>
        </w:rPr>
      </w:pPr>
    </w:p>
    <w:p w:rsidR="00DF128A" w:rsidRPr="00DF128A" w:rsidRDefault="00DF128A" w:rsidP="00EE0CF5">
      <w:pPr>
        <w:pStyle w:val="OBRAZEKStylzarovnnnastedZa0bdkovnNejmn13b"/>
        <w:widowControl w:val="0"/>
        <w:spacing w:before="0" w:line="276" w:lineRule="auto"/>
        <w:jc w:val="both"/>
        <w:rPr>
          <w:szCs w:val="24"/>
        </w:rPr>
      </w:pPr>
      <w:r w:rsidRPr="00DF128A">
        <w:rPr>
          <w:noProof/>
          <w:szCs w:val="24"/>
          <w:lang w:eastAsia="cs-CZ" w:bidi="ar-SA"/>
        </w:rPr>
        <w:lastRenderedPageBreak/>
        <w:drawing>
          <wp:inline distT="0" distB="0" distL="0" distR="0" wp14:anchorId="20748F02" wp14:editId="329F0BDB">
            <wp:extent cx="3962400" cy="2552700"/>
            <wp:effectExtent l="0" t="0" r="0" b="0"/>
            <wp:docPr id="14" name="Obrázek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62400" cy="2552700"/>
                    </a:xfrm>
                    <a:prstGeom prst="rect">
                      <a:avLst/>
                    </a:prstGeom>
                    <a:noFill/>
                    <a:ln>
                      <a:noFill/>
                    </a:ln>
                  </pic:spPr>
                </pic:pic>
              </a:graphicData>
            </a:graphic>
          </wp:inline>
        </w:drawing>
      </w:r>
    </w:p>
    <w:p w:rsidR="00DF128A" w:rsidRPr="00DF128A" w:rsidRDefault="00DF128A" w:rsidP="00EE0CF5">
      <w:pPr>
        <w:pStyle w:val="PODOBRAZEKStylKurzvadkovnNejmn13b"/>
        <w:widowControl w:val="0"/>
        <w:spacing w:after="0" w:line="276" w:lineRule="auto"/>
        <w:rPr>
          <w:i w:val="0"/>
          <w:sz w:val="24"/>
          <w:szCs w:val="24"/>
        </w:rPr>
      </w:pPr>
      <w:r w:rsidRPr="00DF128A">
        <w:rPr>
          <w:i w:val="0"/>
          <w:sz w:val="24"/>
          <w:szCs w:val="24"/>
        </w:rPr>
        <w:t>Obr.2: Struktura nájemců na brněnském trhu podle pronajaté plochy ve zvolených sektorech aktivity (</w:t>
      </w:r>
      <w:r w:rsidRPr="00B038A1">
        <w:rPr>
          <w:sz w:val="24"/>
          <w:szCs w:val="24"/>
        </w:rPr>
        <w:t>zdroj: Vráblík 2007</w:t>
      </w:r>
      <w:r w:rsidRPr="00DF128A">
        <w:rPr>
          <w:i w:val="0"/>
          <w:sz w:val="24"/>
          <w:szCs w:val="24"/>
        </w:rPr>
        <w:t>).</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Pod průmyslové parky spadají také vědeckotechnologické parky, u nichž lze očekávat rozvoj na území Brna, neboť v posledním období přicházejí změny ve struktuře PZI, což ukazuje na nový trend v Brně – počet náročných projektů v oblastech výzkumu, vývoje, sdílených službách a hi-tech výrobě se významně zvyšuje. V současnosti se v areálu Českého technologického parku nacházejí přední mezinárodní a domácí společnosti, které posilují jeho vedoucí pozici mezi rozvojovými zónami v regionu. Tyto společnosti zde mají administrativní, výzkumné a hi-tech výrobní plochy. </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VUT spolu s Jihomoravským krajem, Statutárním městem Brnem a Masarykovou univerzitou založilo také Technologický Inkubátor, který je určen pro začínající společnosti na našem trhu. Smyslem je napomáhání přenosu výsledků V&amp;V</w:t>
      </w:r>
      <w:r w:rsidRPr="00DF128A">
        <w:rPr>
          <w:rStyle w:val="Znakapoznpodarou"/>
          <w:rFonts w:ascii="Times New Roman" w:hAnsi="Times New Roman" w:cs="Times New Roman"/>
          <w:sz w:val="24"/>
          <w:szCs w:val="24"/>
        </w:rPr>
        <w:footnoteReference w:id="7"/>
      </w:r>
      <w:r w:rsidRPr="00DF128A">
        <w:rPr>
          <w:rFonts w:ascii="Times New Roman" w:hAnsi="Times New Roman" w:cs="Times New Roman"/>
          <w:sz w:val="24"/>
          <w:szCs w:val="24"/>
        </w:rPr>
        <w:t xml:space="preserve"> do podnikatelského prostředí, a to v rámci regionu jižní Moravy.</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Co se týče budoucnosti je ve stádiu budování d</w:t>
      </w:r>
      <w:r w:rsidRPr="00DF128A">
        <w:rPr>
          <w:rStyle w:val="Siln"/>
          <w:rFonts w:ascii="Times New Roman" w:hAnsi="Times New Roman" w:cs="Times New Roman"/>
          <w:b w:val="0"/>
          <w:sz w:val="24"/>
          <w:szCs w:val="24"/>
        </w:rPr>
        <w:t xml:space="preserve">vousethektarová zóna ve Šlapanicích na Brněnsku. O park už projevila zájem asi třicítka společností, první z nich se nastěhují začátkem příštího roku. Celkem mají firmy v parku zaměstnat 10.000 lidí, investice do projektu přesáhne 16 miliard korun. </w:t>
      </w:r>
      <w:r w:rsidRPr="00DF128A">
        <w:rPr>
          <w:rFonts w:ascii="Times New Roman" w:hAnsi="Times New Roman" w:cs="Times New Roman"/>
          <w:sz w:val="24"/>
          <w:szCs w:val="24"/>
        </w:rPr>
        <w:t xml:space="preserve">Pro CTP to bude největší investice v historii firmy, zároveň je to jedna z největších investic do průmyslové výstavby v ČR. </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128A" w:rsidP="00EE0CF5">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Proč investovat v Brně?</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Na úrovni regionu se snaží Regionální rozvojová agentura jižní Moravy (zájmové sdružení právnických osob - členy sdružení jsou Jihomoravský kraj, Sdružení obcí a měst jižní Moravy a Krajská hospodářská komora) přilákat investory a jejich peníze do svého území. </w:t>
      </w:r>
      <w:r w:rsidR="00B00A16">
        <w:rPr>
          <w:rFonts w:ascii="Times New Roman" w:hAnsi="Times New Roman" w:cs="Times New Roman"/>
          <w:sz w:val="24"/>
          <w:szCs w:val="24"/>
        </w:rPr>
        <w:t xml:space="preserve">Dále jsou </w:t>
      </w:r>
      <w:r w:rsidRPr="00DF128A">
        <w:rPr>
          <w:rFonts w:ascii="Times New Roman" w:hAnsi="Times New Roman" w:cs="Times New Roman"/>
          <w:sz w:val="24"/>
          <w:szCs w:val="24"/>
        </w:rPr>
        <w:t>vybr</w:t>
      </w:r>
      <w:r w:rsidR="00B00A16">
        <w:rPr>
          <w:rFonts w:ascii="Times New Roman" w:hAnsi="Times New Roman" w:cs="Times New Roman"/>
          <w:sz w:val="24"/>
          <w:szCs w:val="24"/>
        </w:rPr>
        <w:t>ány</w:t>
      </w:r>
      <w:r w:rsidRPr="00DF128A">
        <w:rPr>
          <w:rFonts w:ascii="Times New Roman" w:hAnsi="Times New Roman" w:cs="Times New Roman"/>
          <w:sz w:val="24"/>
          <w:szCs w:val="24"/>
        </w:rPr>
        <w:t xml:space="preserve"> hlavní důvody, proč investovat v Jihomoravském kraji, tak jak jsou uvedeny pro potenciální investory na internetových stránkách www.invest-in-czech.com. Autory těchto stránek jsou </w:t>
      </w:r>
      <w:r w:rsidRPr="00DF128A">
        <w:rPr>
          <w:rFonts w:ascii="Times New Roman" w:hAnsi="Times New Roman" w:cs="Times New Roman"/>
          <w:bCs/>
          <w:sz w:val="24"/>
          <w:szCs w:val="24"/>
        </w:rPr>
        <w:t>Krajský úřad Jihomoravského kraje - Odbor regionálního rozvoje a Statutární město Brno - Odbor územního plánování a rozvoje. Za největší lákadla jsou tedy pokládány tyto důvody:</w:t>
      </w:r>
    </w:p>
    <w:p w:rsidR="00DF128A" w:rsidRPr="00DF128A" w:rsidRDefault="00DF128A" w:rsidP="00B00A16">
      <w:pPr>
        <w:widowControl w:val="0"/>
        <w:numPr>
          <w:ilvl w:val="0"/>
          <w:numId w:val="8"/>
        </w:numPr>
        <w:tabs>
          <w:tab w:val="clear" w:pos="1080"/>
          <w:tab w:val="num" w:pos="900"/>
        </w:tabs>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lastRenderedPageBreak/>
        <w:t>Strategická poloha ve střední Evropě s napojením na hlavní evropskou silniční a železniční dopravní síť.</w:t>
      </w:r>
    </w:p>
    <w:p w:rsidR="00DF128A" w:rsidRPr="00DF128A" w:rsidRDefault="00DF128A" w:rsidP="00B00A16">
      <w:pPr>
        <w:widowControl w:val="0"/>
        <w:numPr>
          <w:ilvl w:val="0"/>
          <w:numId w:val="8"/>
        </w:numPr>
        <w:tabs>
          <w:tab w:val="clear" w:pos="1080"/>
          <w:tab w:val="num" w:pos="900"/>
        </w:tabs>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Kvalitní dopravní dostupnost - dálnice, železnice, letiště. Poloha na křižovatce tradičních obchodních cest sever-jih, východ-západ, sousedství s Rakouskem a Slovenskem.</w:t>
      </w:r>
    </w:p>
    <w:p w:rsidR="00DF128A" w:rsidRPr="00DF128A" w:rsidRDefault="00DF128A" w:rsidP="00B00A16">
      <w:pPr>
        <w:widowControl w:val="0"/>
        <w:numPr>
          <w:ilvl w:val="0"/>
          <w:numId w:val="8"/>
        </w:numPr>
        <w:tabs>
          <w:tab w:val="clear" w:pos="1080"/>
          <w:tab w:val="num" w:pos="900"/>
        </w:tabs>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Vysoká úroveň vzdělání obyvatel. Vysoká koncentrace odborných a vysokoškolských institucí. Dostatek zkušené, kvalifikované a flexibilní pracovní síly.</w:t>
      </w:r>
    </w:p>
    <w:p w:rsidR="00DF128A" w:rsidRPr="00DF128A" w:rsidRDefault="00DF128A" w:rsidP="00B00A16">
      <w:pPr>
        <w:widowControl w:val="0"/>
        <w:numPr>
          <w:ilvl w:val="0"/>
          <w:numId w:val="8"/>
        </w:numPr>
        <w:tabs>
          <w:tab w:val="clear" w:pos="1080"/>
          <w:tab w:val="num" w:pos="900"/>
        </w:tabs>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Vysoká úroveň vědeckých a výzkumných kapacit.</w:t>
      </w:r>
    </w:p>
    <w:p w:rsidR="00DF128A" w:rsidRPr="00DF128A" w:rsidRDefault="00DF128A" w:rsidP="00B00A16">
      <w:pPr>
        <w:widowControl w:val="0"/>
        <w:numPr>
          <w:ilvl w:val="0"/>
          <w:numId w:val="8"/>
        </w:numPr>
        <w:tabs>
          <w:tab w:val="clear" w:pos="1080"/>
          <w:tab w:val="num" w:pos="900"/>
        </w:tabs>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Kvalitní podnikatelské prostředí.</w:t>
      </w:r>
    </w:p>
    <w:p w:rsidR="00DF128A" w:rsidRPr="00DF128A" w:rsidRDefault="00DF128A" w:rsidP="00B00A16">
      <w:pPr>
        <w:widowControl w:val="0"/>
        <w:numPr>
          <w:ilvl w:val="0"/>
          <w:numId w:val="8"/>
        </w:numPr>
        <w:tabs>
          <w:tab w:val="clear" w:pos="1080"/>
          <w:tab w:val="num" w:pos="900"/>
        </w:tabs>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Kvalitní technická infrastruktura zahrnující rozvojové a průmyslové zóny.</w:t>
      </w:r>
    </w:p>
    <w:p w:rsidR="00DF128A" w:rsidRPr="00DF128A" w:rsidRDefault="00DF128A" w:rsidP="00B00A16">
      <w:pPr>
        <w:widowControl w:val="0"/>
        <w:numPr>
          <w:ilvl w:val="0"/>
          <w:numId w:val="8"/>
        </w:numPr>
        <w:tabs>
          <w:tab w:val="clear" w:pos="1080"/>
          <w:tab w:val="num" w:pos="900"/>
        </w:tabs>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Inovativní hi-tech prostředí prověřené zahraničními firmami (Honeywell, IBM, Silicon Graphics, Siemens, FEI, Tyco, Celestica, Andrew Telecommunications, atd.)</w:t>
      </w:r>
    </w:p>
    <w:p w:rsidR="00DF128A" w:rsidRPr="00DF128A" w:rsidRDefault="00DF128A" w:rsidP="00B00A16">
      <w:pPr>
        <w:widowControl w:val="0"/>
        <w:numPr>
          <w:ilvl w:val="0"/>
          <w:numId w:val="8"/>
        </w:numPr>
        <w:tabs>
          <w:tab w:val="clear" w:pos="1080"/>
          <w:tab w:val="num" w:pos="900"/>
        </w:tabs>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Podpora investorů asistenčními službami, investičními pobídkami (příspěvky na rekvalifikace, na vytvoření pracovních míst) a daňovými úlevami.</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EE0CF5">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Na otázku proč směřovat investice do Brna odpovídali také nejvyšší představitelé významných investorských firem, které přišly do jihomoravské metropole v uplynulých několika letech. Tyto odpovědi jsou dostupné na internetových stránkách RRAJM a v podstatě se v několika ohledech, faktorech lokalizace jejich poboček shodují. Především oceňují strategickou polohu Brna, potažmo kraje. Nejen pro svoji polohu na křižovatce sítě dopravních spojnic, ale také mimo jiné i proto, že je druhým největším vzdělávacím centrem v České republice, zaměřeným především na vědu, výzkum a rozvoj, a sídlí zde šest univerzit s více než 60 tisíci studenty. Tím je dán fakt, že se zde nalézá </w:t>
      </w:r>
      <w:r w:rsidRPr="00DF128A">
        <w:rPr>
          <w:rFonts w:ascii="Times New Roman" w:hAnsi="Times New Roman" w:cs="Times New Roman"/>
          <w:iCs/>
          <w:sz w:val="24"/>
          <w:szCs w:val="24"/>
        </w:rPr>
        <w:t xml:space="preserve">vysoce kvalitní a efektivní pracovní síly a dostatečně velká základna náležitě vzdělaných lidí – tento faktor upřednostňují </w:t>
      </w:r>
      <w:r w:rsidRPr="00DF128A">
        <w:rPr>
          <w:rFonts w:ascii="Times New Roman" w:hAnsi="Times New Roman" w:cs="Times New Roman"/>
          <w:sz w:val="24"/>
          <w:szCs w:val="24"/>
        </w:rPr>
        <w:t>zejména firmy technického směru, vysoce kvalifikovaných strategických služeb, firmy v oboru IT. V neposlední řadě se také investoři zmiňují o vlivu investičních pobídek na rozhodování.</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EE0CF5">
      <w:pPr>
        <w:widowControl w:val="0"/>
        <w:autoSpaceDE w:val="0"/>
        <w:autoSpaceDN w:val="0"/>
        <w:adjustRightInd w:val="0"/>
        <w:spacing w:line="276" w:lineRule="auto"/>
        <w:jc w:val="both"/>
        <w:rPr>
          <w:rFonts w:ascii="Times New Roman" w:hAnsi="Times New Roman" w:cs="Times New Roman"/>
          <w:iCs/>
          <w:sz w:val="24"/>
          <w:szCs w:val="24"/>
        </w:rPr>
      </w:pPr>
      <w:r w:rsidRPr="00DF128A">
        <w:rPr>
          <w:rFonts w:ascii="Times New Roman" w:hAnsi="Times New Roman" w:cs="Times New Roman"/>
          <w:iCs/>
          <w:sz w:val="24"/>
          <w:szCs w:val="24"/>
        </w:rPr>
        <w:t>Zde jsou uvedeny názory představitelů důležitých investorů v Brně:</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iCs/>
          <w:sz w:val="24"/>
          <w:szCs w:val="24"/>
        </w:rPr>
      </w:pPr>
      <w:r w:rsidRPr="00DF128A">
        <w:rPr>
          <w:rFonts w:ascii="Times New Roman" w:hAnsi="Times New Roman" w:cs="Times New Roman"/>
          <w:iCs/>
          <w:sz w:val="24"/>
          <w:szCs w:val="24"/>
        </w:rPr>
        <w:t>„Hlavní roli při rozhodování o umístění investice pro nás představovala jednak vysoce kvalifikovaná a navíc cenově dostupná pracovní síla a také blízkost k našim stávajícím technologickým centrům v Mnichově a Londýně. Nezanedbatelným impulsem pro nás byla i možnost získat státní podporu pro tento projekt.”</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i/>
          <w:iCs/>
          <w:sz w:val="24"/>
          <w:szCs w:val="24"/>
        </w:rPr>
      </w:pPr>
      <w:r w:rsidRPr="00DF128A">
        <w:rPr>
          <w:rFonts w:ascii="Times New Roman" w:hAnsi="Times New Roman" w:cs="Times New Roman"/>
          <w:i/>
          <w:iCs/>
          <w:sz w:val="24"/>
          <w:szCs w:val="24"/>
        </w:rPr>
        <w:t>Larry Zimmermann</w:t>
      </w:r>
      <w:r w:rsidR="00B038A1">
        <w:rPr>
          <w:rFonts w:ascii="Times New Roman" w:hAnsi="Times New Roman" w:cs="Times New Roman"/>
          <w:i/>
          <w:iCs/>
          <w:sz w:val="24"/>
          <w:szCs w:val="24"/>
        </w:rPr>
        <w:t xml:space="preserve">, </w:t>
      </w:r>
      <w:r w:rsidRPr="00DF128A">
        <w:rPr>
          <w:rFonts w:ascii="Times New Roman" w:hAnsi="Times New Roman" w:cs="Times New Roman"/>
          <w:i/>
          <w:iCs/>
          <w:sz w:val="24"/>
          <w:szCs w:val="24"/>
        </w:rPr>
        <w:t>Vice President R&amp;D, Tyco Fire &amp; Security</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iCs/>
          <w:sz w:val="24"/>
          <w:szCs w:val="24"/>
        </w:rPr>
      </w:pP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iCs/>
          <w:sz w:val="24"/>
          <w:szCs w:val="24"/>
        </w:rPr>
      </w:pPr>
      <w:r w:rsidRPr="00DF128A">
        <w:rPr>
          <w:rFonts w:ascii="Times New Roman" w:hAnsi="Times New Roman" w:cs="Times New Roman"/>
          <w:iCs/>
          <w:sz w:val="24"/>
          <w:szCs w:val="24"/>
        </w:rPr>
        <w:t>„Až do této chvíle jsme nacházeli specialisty té nejvyšší kvality pro naši výrobu pouze v zemích s nejvíce rozvinutým průmyslem. Nyní jsme ale přesvědčeni, že na Brněnsku, které má dlouhodobou tradici v oblasti strojního inženýrství a univerzitního vzdělání, je mnoho zaměstnanců na srovnatelně vysoké úrovni.“</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i/>
          <w:iCs/>
          <w:sz w:val="24"/>
          <w:szCs w:val="24"/>
        </w:rPr>
      </w:pPr>
      <w:r w:rsidRPr="00DF128A">
        <w:rPr>
          <w:rFonts w:ascii="Times New Roman" w:hAnsi="Times New Roman" w:cs="Times New Roman"/>
          <w:i/>
          <w:iCs/>
          <w:sz w:val="24"/>
          <w:szCs w:val="24"/>
        </w:rPr>
        <w:t>John Stroup</w:t>
      </w:r>
      <w:r w:rsidR="00B038A1">
        <w:rPr>
          <w:rFonts w:ascii="Times New Roman" w:hAnsi="Times New Roman" w:cs="Times New Roman"/>
          <w:i/>
          <w:iCs/>
          <w:sz w:val="24"/>
          <w:szCs w:val="24"/>
        </w:rPr>
        <w:t xml:space="preserve">, </w:t>
      </w:r>
      <w:r w:rsidRPr="00DF128A">
        <w:rPr>
          <w:rFonts w:ascii="Times New Roman" w:hAnsi="Times New Roman" w:cs="Times New Roman"/>
          <w:i/>
          <w:iCs/>
          <w:sz w:val="24"/>
          <w:szCs w:val="24"/>
        </w:rPr>
        <w:t>President Danaher Motion group</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iCs/>
          <w:sz w:val="24"/>
          <w:szCs w:val="24"/>
        </w:rPr>
      </w:pP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iCs/>
          <w:sz w:val="24"/>
          <w:szCs w:val="24"/>
        </w:rPr>
      </w:pPr>
      <w:r w:rsidRPr="00DF128A">
        <w:rPr>
          <w:rFonts w:ascii="Times New Roman" w:hAnsi="Times New Roman" w:cs="Times New Roman"/>
          <w:iCs/>
          <w:sz w:val="24"/>
          <w:szCs w:val="24"/>
        </w:rPr>
        <w:t xml:space="preserve">„Brno se pro Honeywell stalo klíčovým středoevropským výrobním a technologickým centrem. Důvody byly jednoduché: Česká republika nabízí vysoce kvalitní a efektivní pracovní sílu se silnou technicky orientovanou vzdělanostní základnou a velkým počtem </w:t>
      </w:r>
      <w:r w:rsidRPr="00DF128A">
        <w:rPr>
          <w:rFonts w:ascii="Times New Roman" w:hAnsi="Times New Roman" w:cs="Times New Roman"/>
          <w:iCs/>
          <w:sz w:val="24"/>
          <w:szCs w:val="24"/>
        </w:rPr>
        <w:lastRenderedPageBreak/>
        <w:t>inženýrů.“</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i/>
          <w:sz w:val="24"/>
          <w:szCs w:val="24"/>
        </w:rPr>
      </w:pPr>
      <w:r w:rsidRPr="00DF128A">
        <w:rPr>
          <w:rFonts w:ascii="Times New Roman" w:hAnsi="Times New Roman" w:cs="Times New Roman"/>
          <w:i/>
          <w:iCs/>
          <w:sz w:val="24"/>
          <w:szCs w:val="24"/>
        </w:rPr>
        <w:t>Jaroslav Doležal</w:t>
      </w:r>
      <w:r w:rsidR="00B038A1">
        <w:rPr>
          <w:rFonts w:ascii="Times New Roman" w:hAnsi="Times New Roman" w:cs="Times New Roman"/>
          <w:i/>
          <w:iCs/>
          <w:sz w:val="24"/>
          <w:szCs w:val="24"/>
        </w:rPr>
        <w:t xml:space="preserve">, </w:t>
      </w:r>
      <w:r w:rsidRPr="00DF128A">
        <w:rPr>
          <w:rFonts w:ascii="Times New Roman" w:hAnsi="Times New Roman" w:cs="Times New Roman"/>
          <w:i/>
          <w:iCs/>
          <w:sz w:val="24"/>
          <w:szCs w:val="24"/>
        </w:rPr>
        <w:t>National Executive, Honeywell Czech Republic</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r w:rsidRPr="00DF128A">
        <w:rPr>
          <w:rFonts w:ascii="Times New Roman" w:hAnsi="Times New Roman" w:cs="Times New Roman"/>
          <w:sz w:val="24"/>
          <w:szCs w:val="24"/>
        </w:rPr>
        <w:t>Zdroj: www.rrajm.cz</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B038A1" w:rsidP="00EE0CF5">
      <w:pPr>
        <w:widowControl w:val="0"/>
        <w:spacing w:line="276" w:lineRule="auto"/>
        <w:jc w:val="both"/>
        <w:rPr>
          <w:rFonts w:ascii="Times New Roman" w:hAnsi="Times New Roman" w:cs="Times New Roman"/>
          <w:b/>
          <w:sz w:val="24"/>
          <w:szCs w:val="24"/>
        </w:rPr>
      </w:pPr>
      <w:r>
        <w:rPr>
          <w:rFonts w:ascii="Times New Roman" w:hAnsi="Times New Roman" w:cs="Times New Roman"/>
          <w:b/>
          <w:sz w:val="24"/>
          <w:szCs w:val="24"/>
        </w:rPr>
        <w:t>Závěr</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Celkově lze vliv PZI na rozvoj města Brna hodnotit pozitivně už jenom z toho důvodu, že právě tyto investice vytvářely nová pracovní místa. Během ekonomické transformace docházelo k útlum</w:t>
      </w:r>
      <w:r w:rsidR="00244EC4">
        <w:rPr>
          <w:rFonts w:ascii="Times New Roman" w:hAnsi="Times New Roman" w:cs="Times New Roman"/>
          <w:sz w:val="24"/>
          <w:szCs w:val="24"/>
        </w:rPr>
        <w:t>u</w:t>
      </w:r>
      <w:r w:rsidRPr="00DF128A">
        <w:rPr>
          <w:rFonts w:ascii="Times New Roman" w:hAnsi="Times New Roman" w:cs="Times New Roman"/>
          <w:sz w:val="24"/>
          <w:szCs w:val="24"/>
        </w:rPr>
        <w:t xml:space="preserve"> velkých místních podniků, </w:t>
      </w:r>
      <w:r w:rsidR="00244EC4">
        <w:rPr>
          <w:rFonts w:ascii="Times New Roman" w:hAnsi="Times New Roman" w:cs="Times New Roman"/>
          <w:sz w:val="24"/>
          <w:szCs w:val="24"/>
        </w:rPr>
        <w:t>které</w:t>
      </w:r>
      <w:r w:rsidRPr="00DF128A">
        <w:rPr>
          <w:rFonts w:ascii="Times New Roman" w:hAnsi="Times New Roman" w:cs="Times New Roman"/>
          <w:sz w:val="24"/>
          <w:szCs w:val="24"/>
        </w:rPr>
        <w:t xml:space="preserve"> byly dříve velkými zaměstnavatel</w:t>
      </w:r>
      <w:r w:rsidR="00244EC4">
        <w:rPr>
          <w:rFonts w:ascii="Times New Roman" w:hAnsi="Times New Roman" w:cs="Times New Roman"/>
          <w:sz w:val="24"/>
          <w:szCs w:val="24"/>
        </w:rPr>
        <w:t>i</w:t>
      </w:r>
      <w:r w:rsidRPr="00DF128A">
        <w:rPr>
          <w:rFonts w:ascii="Times New Roman" w:hAnsi="Times New Roman" w:cs="Times New Roman"/>
          <w:sz w:val="24"/>
          <w:szCs w:val="24"/>
        </w:rPr>
        <w:t>. Tedy i díky PZI se dařila mírnit vzrůstající míra nezaměstnanosti.</w:t>
      </w:r>
    </w:p>
    <w:p w:rsidR="00DF128A" w:rsidRPr="00DF128A" w:rsidRDefault="00244EC4" w:rsidP="00DF128A">
      <w:pPr>
        <w:widowControl w:val="0"/>
        <w:spacing w:line="276" w:lineRule="auto"/>
        <w:ind w:firstLine="709"/>
        <w:jc w:val="both"/>
        <w:rPr>
          <w:rFonts w:ascii="Times New Roman" w:hAnsi="Times New Roman" w:cs="Times New Roman"/>
          <w:sz w:val="24"/>
          <w:szCs w:val="24"/>
        </w:rPr>
      </w:pPr>
      <w:r>
        <w:rPr>
          <w:rFonts w:ascii="Times New Roman" w:hAnsi="Times New Roman" w:cs="Times New Roman"/>
          <w:sz w:val="24"/>
          <w:szCs w:val="24"/>
        </w:rPr>
        <w:t>M</w:t>
      </w:r>
      <w:r w:rsidR="00DF128A" w:rsidRPr="00DF128A">
        <w:rPr>
          <w:rFonts w:ascii="Times New Roman" w:hAnsi="Times New Roman" w:cs="Times New Roman"/>
          <w:sz w:val="24"/>
          <w:szCs w:val="24"/>
        </w:rPr>
        <w:t>ěst</w:t>
      </w:r>
      <w:r>
        <w:rPr>
          <w:rFonts w:ascii="Times New Roman" w:hAnsi="Times New Roman" w:cs="Times New Roman"/>
          <w:sz w:val="24"/>
          <w:szCs w:val="24"/>
        </w:rPr>
        <w:t>o</w:t>
      </w:r>
      <w:r w:rsidR="00DF128A" w:rsidRPr="00DF128A">
        <w:rPr>
          <w:rFonts w:ascii="Times New Roman" w:hAnsi="Times New Roman" w:cs="Times New Roman"/>
          <w:sz w:val="24"/>
          <w:szCs w:val="24"/>
        </w:rPr>
        <w:t xml:space="preserve"> Brna disponuje </w:t>
      </w:r>
      <w:r>
        <w:rPr>
          <w:rFonts w:ascii="Times New Roman" w:hAnsi="Times New Roman" w:cs="Times New Roman"/>
          <w:sz w:val="24"/>
          <w:szCs w:val="24"/>
        </w:rPr>
        <w:t xml:space="preserve">pro další vývoj </w:t>
      </w:r>
      <w:r w:rsidR="00DF128A" w:rsidRPr="00DF128A">
        <w:rPr>
          <w:rFonts w:ascii="Times New Roman" w:hAnsi="Times New Roman" w:cs="Times New Roman"/>
          <w:sz w:val="24"/>
          <w:szCs w:val="24"/>
        </w:rPr>
        <w:t xml:space="preserve">nadprůměrnými podmínkami pro rozvoj vědy a výzkumu a má výrazný rozvojový potenciál, o čemž utvrzuje i zájem developerů. Příznivá image města Brna má také vliv na zájem investorů, především v oblasti high-tech a stále více také v oblasti vědy, výzkumu a vývoje. Brno má šanci se stát významným centrem těchto aktivit nejen v republikovém měřítku.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622CAB" w:rsidP="00622CAB">
      <w:pPr>
        <w:widowControl w:val="0"/>
        <w:spacing w:line="276" w:lineRule="auto"/>
        <w:jc w:val="both"/>
        <w:rPr>
          <w:rFonts w:ascii="Times New Roman" w:hAnsi="Times New Roman" w:cs="Times New Roman"/>
          <w:sz w:val="24"/>
          <w:szCs w:val="24"/>
        </w:rPr>
      </w:pPr>
      <w:r w:rsidRPr="00622CAB">
        <w:rPr>
          <w:rFonts w:ascii="Times New Roman" w:hAnsi="Times New Roman" w:cs="Times New Roman"/>
          <w:b/>
          <w:sz w:val="24"/>
          <w:szCs w:val="24"/>
        </w:rPr>
        <w:t>LITERATURA A ZDROJE</w:t>
      </w:r>
      <w:r w:rsidR="00DF128A" w:rsidRPr="00DF128A">
        <w:rPr>
          <w:rFonts w:ascii="Times New Roman" w:hAnsi="Times New Roman" w:cs="Times New Roman"/>
          <w:sz w:val="24"/>
          <w:szCs w:val="24"/>
        </w:rPr>
        <w:t>:</w:t>
      </w:r>
    </w:p>
    <w:p w:rsidR="00DF128A" w:rsidRPr="00622CAB" w:rsidRDefault="00DF128A" w:rsidP="00622CAB">
      <w:pPr>
        <w:widowControl w:val="0"/>
        <w:spacing w:after="120" w:line="276" w:lineRule="auto"/>
        <w:jc w:val="both"/>
        <w:rPr>
          <w:rFonts w:ascii="Times New Roman" w:hAnsi="Times New Roman" w:cs="Times New Roman"/>
          <w:i/>
          <w:iCs/>
          <w:sz w:val="20"/>
          <w:szCs w:val="20"/>
        </w:rPr>
      </w:pPr>
      <w:r w:rsidRPr="00B00A16">
        <w:rPr>
          <w:rFonts w:ascii="Times New Roman" w:hAnsi="Times New Roman" w:cs="Times New Roman"/>
          <w:iCs/>
          <w:sz w:val="20"/>
          <w:szCs w:val="20"/>
        </w:rPr>
        <w:t xml:space="preserve">Ježek, J. (2000): </w:t>
      </w:r>
      <w:r w:rsidRPr="00622CAB">
        <w:rPr>
          <w:rFonts w:ascii="Times New Roman" w:hAnsi="Times New Roman" w:cs="Times New Roman"/>
          <w:i/>
          <w:iCs/>
          <w:sz w:val="20"/>
          <w:szCs w:val="20"/>
        </w:rPr>
        <w:t xml:space="preserve">Prostorová a regionální ekonomika. </w:t>
      </w:r>
      <w:r w:rsidR="00B00A16" w:rsidRPr="00B00A16">
        <w:rPr>
          <w:rFonts w:ascii="Times New Roman" w:hAnsi="Times New Roman" w:cs="Times New Roman"/>
          <w:iCs/>
          <w:sz w:val="20"/>
          <w:szCs w:val="20"/>
        </w:rPr>
        <w:t xml:space="preserve">Plzeň: </w:t>
      </w:r>
      <w:r w:rsidRPr="00B00A16">
        <w:rPr>
          <w:rFonts w:ascii="Times New Roman" w:hAnsi="Times New Roman" w:cs="Times New Roman"/>
          <w:iCs/>
          <w:sz w:val="20"/>
          <w:szCs w:val="20"/>
        </w:rPr>
        <w:t>Vydavatelství Západočeské univerzity</w:t>
      </w:r>
      <w:r w:rsidR="00B00A16" w:rsidRPr="00B00A16">
        <w:rPr>
          <w:rFonts w:ascii="Times New Roman" w:hAnsi="Times New Roman" w:cs="Times New Roman"/>
          <w:iCs/>
          <w:sz w:val="20"/>
          <w:szCs w:val="20"/>
        </w:rPr>
        <w:t>.</w:t>
      </w:r>
      <w:r w:rsidRPr="00B00A16">
        <w:rPr>
          <w:rFonts w:ascii="Times New Roman" w:hAnsi="Times New Roman" w:cs="Times New Roman"/>
          <w:iCs/>
          <w:sz w:val="20"/>
          <w:szCs w:val="20"/>
        </w:rPr>
        <w:t xml:space="preserve"> 234 s.</w:t>
      </w:r>
    </w:p>
    <w:p w:rsidR="00DF128A" w:rsidRPr="00622CAB" w:rsidRDefault="00DF128A" w:rsidP="00622CAB">
      <w:pPr>
        <w:widowControl w:val="0"/>
        <w:spacing w:after="120" w:line="276" w:lineRule="auto"/>
        <w:jc w:val="both"/>
        <w:rPr>
          <w:rFonts w:ascii="Times New Roman" w:hAnsi="Times New Roman" w:cs="Times New Roman"/>
          <w:i/>
          <w:iCs/>
          <w:sz w:val="20"/>
          <w:szCs w:val="20"/>
        </w:rPr>
      </w:pPr>
      <w:r w:rsidRPr="00B00A16">
        <w:rPr>
          <w:rFonts w:ascii="Times New Roman" w:hAnsi="Times New Roman" w:cs="Times New Roman"/>
          <w:iCs/>
          <w:sz w:val="20"/>
          <w:szCs w:val="20"/>
        </w:rPr>
        <w:t>Kunc, J. (2005):</w:t>
      </w:r>
      <w:r w:rsidRPr="00622CAB">
        <w:rPr>
          <w:rFonts w:ascii="Times New Roman" w:hAnsi="Times New Roman" w:cs="Times New Roman"/>
          <w:i/>
          <w:iCs/>
          <w:sz w:val="20"/>
          <w:szCs w:val="20"/>
        </w:rPr>
        <w:t xml:space="preserve"> Průmyslové zóny v rukou soukromých developerů a efektivnost jejich podnikání (příklad Central Trade Park Modice). In Geografické aspekty st</w:t>
      </w:r>
      <w:r w:rsidR="00B00A16">
        <w:rPr>
          <w:rFonts w:ascii="Times New Roman" w:hAnsi="Times New Roman" w:cs="Times New Roman"/>
          <w:i/>
          <w:iCs/>
          <w:sz w:val="20"/>
          <w:szCs w:val="20"/>
        </w:rPr>
        <w:t>ř</w:t>
      </w:r>
      <w:r w:rsidRPr="00622CAB">
        <w:rPr>
          <w:rFonts w:ascii="Times New Roman" w:hAnsi="Times New Roman" w:cs="Times New Roman"/>
          <w:i/>
          <w:iCs/>
          <w:sz w:val="20"/>
          <w:szCs w:val="20"/>
        </w:rPr>
        <w:t xml:space="preserve">edoevropského prostoru. Geografie XVI. </w:t>
      </w:r>
      <w:r w:rsidRPr="00B00A16">
        <w:rPr>
          <w:rFonts w:ascii="Times New Roman" w:hAnsi="Times New Roman" w:cs="Times New Roman"/>
          <w:iCs/>
          <w:sz w:val="20"/>
          <w:szCs w:val="20"/>
        </w:rPr>
        <w:t>Brno: Masarykova univerzita v Brně, 2005. od s. 296-307, 12 s.</w:t>
      </w:r>
    </w:p>
    <w:p w:rsidR="00DF128A" w:rsidRPr="00B00A16" w:rsidRDefault="00DF128A" w:rsidP="00622CAB">
      <w:pPr>
        <w:widowControl w:val="0"/>
        <w:spacing w:after="120" w:line="276" w:lineRule="auto"/>
        <w:jc w:val="both"/>
        <w:rPr>
          <w:rFonts w:ascii="Times New Roman" w:hAnsi="Times New Roman" w:cs="Times New Roman"/>
          <w:iCs/>
          <w:sz w:val="20"/>
          <w:szCs w:val="20"/>
        </w:rPr>
      </w:pPr>
      <w:r w:rsidRPr="00B00A16">
        <w:rPr>
          <w:rFonts w:ascii="Times New Roman" w:hAnsi="Times New Roman" w:cs="Times New Roman"/>
          <w:iCs/>
          <w:sz w:val="20"/>
          <w:szCs w:val="20"/>
        </w:rPr>
        <w:t>Srholec, M. (2004):</w:t>
      </w:r>
      <w:r w:rsidRPr="00622CAB">
        <w:rPr>
          <w:rFonts w:ascii="Times New Roman" w:hAnsi="Times New Roman" w:cs="Times New Roman"/>
          <w:i/>
          <w:iCs/>
          <w:sz w:val="20"/>
          <w:szCs w:val="20"/>
        </w:rPr>
        <w:t xml:space="preserve"> Přímé zahraniční investice v České republice. Teorie a praxe v mezinárodním srovnání.</w:t>
      </w:r>
      <w:r w:rsidRPr="00B00A16">
        <w:rPr>
          <w:rFonts w:ascii="Times New Roman" w:hAnsi="Times New Roman" w:cs="Times New Roman"/>
          <w:iCs/>
          <w:sz w:val="20"/>
          <w:szCs w:val="20"/>
        </w:rPr>
        <w:t xml:space="preserve"> Praha</w:t>
      </w:r>
      <w:r w:rsidR="00B00A16">
        <w:rPr>
          <w:rFonts w:ascii="Times New Roman" w:hAnsi="Times New Roman" w:cs="Times New Roman"/>
          <w:iCs/>
          <w:sz w:val="20"/>
          <w:szCs w:val="20"/>
        </w:rPr>
        <w:t>:</w:t>
      </w:r>
      <w:r w:rsidR="00B00A16" w:rsidRPr="00B00A16">
        <w:rPr>
          <w:rFonts w:ascii="Times New Roman" w:hAnsi="Times New Roman" w:cs="Times New Roman"/>
          <w:iCs/>
          <w:sz w:val="20"/>
          <w:szCs w:val="20"/>
        </w:rPr>
        <w:t xml:space="preserve"> Linde</w:t>
      </w:r>
      <w:r w:rsidR="00B00A16">
        <w:rPr>
          <w:rFonts w:ascii="Times New Roman" w:hAnsi="Times New Roman" w:cs="Times New Roman"/>
          <w:iCs/>
          <w:sz w:val="20"/>
          <w:szCs w:val="20"/>
        </w:rPr>
        <w:t>.</w:t>
      </w:r>
    </w:p>
    <w:p w:rsidR="00DF128A" w:rsidRPr="00622CAB" w:rsidRDefault="00DF128A" w:rsidP="00622CAB">
      <w:pPr>
        <w:widowControl w:val="0"/>
        <w:spacing w:after="120" w:line="276" w:lineRule="auto"/>
        <w:jc w:val="both"/>
        <w:rPr>
          <w:rFonts w:ascii="Times New Roman" w:hAnsi="Times New Roman" w:cs="Times New Roman"/>
          <w:i/>
          <w:iCs/>
          <w:sz w:val="20"/>
          <w:szCs w:val="20"/>
        </w:rPr>
      </w:pPr>
      <w:r w:rsidRPr="00B00A16">
        <w:rPr>
          <w:rFonts w:ascii="Times New Roman" w:hAnsi="Times New Roman" w:cs="Times New Roman"/>
          <w:iCs/>
          <w:sz w:val="20"/>
          <w:szCs w:val="20"/>
        </w:rPr>
        <w:t>Sýkora, L. (2000):</w:t>
      </w:r>
      <w:r w:rsidRPr="00622CAB">
        <w:rPr>
          <w:rFonts w:ascii="Times New Roman" w:hAnsi="Times New Roman" w:cs="Times New Roman"/>
          <w:i/>
          <w:iCs/>
          <w:sz w:val="20"/>
          <w:szCs w:val="20"/>
        </w:rPr>
        <w:t xml:space="preserve"> Globalizace a její společenské a geografické důsledky. </w:t>
      </w:r>
      <w:r w:rsidRPr="00B00A16">
        <w:rPr>
          <w:rFonts w:ascii="Times New Roman" w:hAnsi="Times New Roman" w:cs="Times New Roman"/>
          <w:iCs/>
          <w:sz w:val="20"/>
          <w:szCs w:val="20"/>
        </w:rPr>
        <w:t>In: Jehlička, P., Tomeš, J., Daněk, P.</w:t>
      </w:r>
      <w:r w:rsidR="00B00A16">
        <w:rPr>
          <w:rFonts w:ascii="Times New Roman" w:hAnsi="Times New Roman" w:cs="Times New Roman"/>
          <w:iCs/>
          <w:sz w:val="20"/>
          <w:szCs w:val="20"/>
        </w:rPr>
        <w:t>, eds.:</w:t>
      </w:r>
      <w:r w:rsidRPr="00B00A16">
        <w:rPr>
          <w:rFonts w:ascii="Times New Roman" w:hAnsi="Times New Roman" w:cs="Times New Roman"/>
          <w:iCs/>
          <w:sz w:val="20"/>
          <w:szCs w:val="20"/>
        </w:rPr>
        <w:t xml:space="preserve"> </w:t>
      </w:r>
      <w:r w:rsidRPr="00622CAB">
        <w:rPr>
          <w:rFonts w:ascii="Times New Roman" w:hAnsi="Times New Roman" w:cs="Times New Roman"/>
          <w:i/>
          <w:iCs/>
          <w:sz w:val="20"/>
          <w:szCs w:val="20"/>
        </w:rPr>
        <w:t>Stát, prostor, politika: vybrané otázky politické geografie</w:t>
      </w:r>
      <w:r w:rsidR="00B00A16">
        <w:rPr>
          <w:rFonts w:ascii="Times New Roman" w:hAnsi="Times New Roman" w:cs="Times New Roman"/>
          <w:i/>
          <w:iCs/>
          <w:sz w:val="20"/>
          <w:szCs w:val="20"/>
        </w:rPr>
        <w:t xml:space="preserve">. </w:t>
      </w:r>
      <w:r w:rsidR="00B00A16">
        <w:rPr>
          <w:rFonts w:ascii="Times New Roman" w:hAnsi="Times New Roman" w:cs="Times New Roman"/>
          <w:iCs/>
          <w:sz w:val="20"/>
          <w:szCs w:val="20"/>
        </w:rPr>
        <w:t>Praha: Univerzita Karlova</w:t>
      </w:r>
      <w:r w:rsidRPr="00622CAB">
        <w:rPr>
          <w:rFonts w:ascii="Times New Roman" w:hAnsi="Times New Roman" w:cs="Times New Roman"/>
          <w:i/>
          <w:iCs/>
          <w:sz w:val="20"/>
          <w:szCs w:val="20"/>
        </w:rPr>
        <w:t>,</w:t>
      </w:r>
      <w:r w:rsidRPr="00B00A16">
        <w:rPr>
          <w:rFonts w:ascii="Times New Roman" w:hAnsi="Times New Roman" w:cs="Times New Roman"/>
          <w:iCs/>
          <w:sz w:val="20"/>
          <w:szCs w:val="20"/>
        </w:rPr>
        <w:t xml:space="preserve"> s. 59-79</w:t>
      </w:r>
      <w:r w:rsidR="00B00A16">
        <w:rPr>
          <w:rFonts w:ascii="Times New Roman" w:hAnsi="Times New Roman" w:cs="Times New Roman"/>
          <w:iCs/>
          <w:sz w:val="20"/>
          <w:szCs w:val="20"/>
        </w:rPr>
        <w:t>.</w:t>
      </w:r>
      <w:r w:rsidRPr="00B00A16">
        <w:rPr>
          <w:rFonts w:ascii="Times New Roman" w:hAnsi="Times New Roman" w:cs="Times New Roman"/>
          <w:iCs/>
          <w:sz w:val="20"/>
          <w:szCs w:val="20"/>
        </w:rPr>
        <w:t> </w:t>
      </w:r>
    </w:p>
    <w:p w:rsidR="00DF128A" w:rsidRPr="00B00A16" w:rsidRDefault="00DF128A" w:rsidP="00622CAB">
      <w:pPr>
        <w:widowControl w:val="0"/>
        <w:spacing w:after="120" w:line="276" w:lineRule="auto"/>
        <w:jc w:val="both"/>
        <w:rPr>
          <w:rFonts w:ascii="Times New Roman" w:hAnsi="Times New Roman" w:cs="Times New Roman"/>
          <w:iCs/>
          <w:sz w:val="20"/>
          <w:szCs w:val="20"/>
        </w:rPr>
      </w:pPr>
      <w:r w:rsidRPr="00B00A16">
        <w:rPr>
          <w:rFonts w:ascii="Times New Roman" w:hAnsi="Times New Roman" w:cs="Times New Roman"/>
          <w:iCs/>
          <w:sz w:val="20"/>
          <w:szCs w:val="20"/>
        </w:rPr>
        <w:t>Viturka, M. a kol.</w:t>
      </w:r>
      <w:r w:rsidR="00B00A16">
        <w:rPr>
          <w:rFonts w:ascii="Times New Roman" w:hAnsi="Times New Roman" w:cs="Times New Roman"/>
          <w:iCs/>
          <w:sz w:val="20"/>
          <w:szCs w:val="20"/>
        </w:rPr>
        <w:t xml:space="preserve"> </w:t>
      </w:r>
      <w:r w:rsidRPr="00B00A16">
        <w:rPr>
          <w:rFonts w:ascii="Times New Roman" w:hAnsi="Times New Roman" w:cs="Times New Roman"/>
          <w:iCs/>
          <w:sz w:val="20"/>
          <w:szCs w:val="20"/>
        </w:rPr>
        <w:t>(1998):</w:t>
      </w:r>
      <w:r w:rsidRPr="00622CAB">
        <w:rPr>
          <w:rFonts w:ascii="Times New Roman" w:hAnsi="Times New Roman" w:cs="Times New Roman"/>
          <w:i/>
          <w:iCs/>
          <w:sz w:val="20"/>
          <w:szCs w:val="20"/>
        </w:rPr>
        <w:t xml:space="preserve"> Investiční atraktivita vybraných měst České republiky. </w:t>
      </w:r>
      <w:r w:rsidRPr="00B00A16">
        <w:rPr>
          <w:rFonts w:ascii="Times New Roman" w:hAnsi="Times New Roman" w:cs="Times New Roman"/>
          <w:iCs/>
          <w:sz w:val="20"/>
          <w:szCs w:val="20"/>
        </w:rPr>
        <w:t>Brno</w:t>
      </w:r>
      <w:r w:rsidR="00B00A16">
        <w:rPr>
          <w:rFonts w:ascii="Times New Roman" w:hAnsi="Times New Roman" w:cs="Times New Roman"/>
          <w:iCs/>
          <w:sz w:val="20"/>
          <w:szCs w:val="20"/>
        </w:rPr>
        <w:t>:</w:t>
      </w:r>
      <w:r w:rsidR="00B00A16" w:rsidRPr="00B00A16">
        <w:rPr>
          <w:rFonts w:ascii="Times New Roman" w:hAnsi="Times New Roman" w:cs="Times New Roman"/>
          <w:iCs/>
          <w:sz w:val="20"/>
          <w:szCs w:val="20"/>
        </w:rPr>
        <w:t xml:space="preserve"> Masarykova univerzita</w:t>
      </w:r>
      <w:r w:rsidR="00B00A16">
        <w:rPr>
          <w:rFonts w:ascii="Times New Roman" w:hAnsi="Times New Roman" w:cs="Times New Roman"/>
          <w:iCs/>
          <w:sz w:val="20"/>
          <w:szCs w:val="20"/>
        </w:rPr>
        <w:t>.</w:t>
      </w:r>
      <w:r w:rsidRPr="00B00A16">
        <w:rPr>
          <w:rFonts w:ascii="Times New Roman" w:hAnsi="Times New Roman" w:cs="Times New Roman"/>
          <w:iCs/>
          <w:sz w:val="20"/>
          <w:szCs w:val="20"/>
        </w:rPr>
        <w:t xml:space="preserve"> 119 s.</w:t>
      </w:r>
    </w:p>
    <w:p w:rsidR="00DF128A" w:rsidRPr="00B00A16" w:rsidRDefault="00DF128A" w:rsidP="00622CAB">
      <w:pPr>
        <w:widowControl w:val="0"/>
        <w:spacing w:after="120" w:line="276" w:lineRule="auto"/>
        <w:jc w:val="both"/>
        <w:rPr>
          <w:rFonts w:ascii="Times New Roman" w:hAnsi="Times New Roman" w:cs="Times New Roman"/>
          <w:iCs/>
          <w:sz w:val="20"/>
          <w:szCs w:val="20"/>
        </w:rPr>
      </w:pPr>
      <w:r w:rsidRPr="00B00A16">
        <w:rPr>
          <w:rFonts w:ascii="Times New Roman" w:hAnsi="Times New Roman" w:cs="Times New Roman"/>
          <w:iCs/>
          <w:sz w:val="20"/>
          <w:szCs w:val="20"/>
        </w:rPr>
        <w:t>Vráblík, P.</w:t>
      </w:r>
      <w:r w:rsidR="00B00A16">
        <w:rPr>
          <w:rFonts w:ascii="Times New Roman" w:hAnsi="Times New Roman" w:cs="Times New Roman"/>
          <w:iCs/>
          <w:sz w:val="20"/>
          <w:szCs w:val="20"/>
        </w:rPr>
        <w:t xml:space="preserve"> (2007):</w:t>
      </w:r>
      <w:r w:rsidRPr="00622CAB">
        <w:rPr>
          <w:rFonts w:ascii="Times New Roman" w:hAnsi="Times New Roman" w:cs="Times New Roman"/>
          <w:i/>
          <w:iCs/>
          <w:sz w:val="20"/>
          <w:szCs w:val="20"/>
        </w:rPr>
        <w:t xml:space="preserve"> Geografická analýza velkých developerských projektů v Brně. </w:t>
      </w:r>
      <w:r w:rsidR="00B00A16">
        <w:rPr>
          <w:rFonts w:ascii="Times New Roman" w:hAnsi="Times New Roman" w:cs="Times New Roman"/>
          <w:iCs/>
          <w:sz w:val="20"/>
          <w:szCs w:val="20"/>
        </w:rPr>
        <w:t xml:space="preserve">(Bakalářská práce). </w:t>
      </w:r>
      <w:r w:rsidR="00B00A16" w:rsidRPr="00B00A16">
        <w:rPr>
          <w:rFonts w:ascii="Times New Roman" w:hAnsi="Times New Roman" w:cs="Times New Roman"/>
          <w:iCs/>
          <w:sz w:val="20"/>
          <w:szCs w:val="20"/>
        </w:rPr>
        <w:t xml:space="preserve">Brno: </w:t>
      </w:r>
      <w:r w:rsidRPr="00B00A16">
        <w:rPr>
          <w:rFonts w:ascii="Times New Roman" w:hAnsi="Times New Roman" w:cs="Times New Roman"/>
          <w:iCs/>
          <w:sz w:val="20"/>
          <w:szCs w:val="20"/>
        </w:rPr>
        <w:t>Masarykova univerzita.</w:t>
      </w:r>
      <w:r w:rsidR="00B00A16">
        <w:rPr>
          <w:rFonts w:ascii="Times New Roman" w:hAnsi="Times New Roman" w:cs="Times New Roman"/>
          <w:iCs/>
          <w:sz w:val="20"/>
          <w:szCs w:val="20"/>
        </w:rPr>
        <w:t xml:space="preserve"> </w:t>
      </w:r>
      <w:r w:rsidR="00B00A16" w:rsidRPr="00B00A16">
        <w:rPr>
          <w:rFonts w:ascii="Times New Roman" w:hAnsi="Times New Roman" w:cs="Times New Roman"/>
          <w:iCs/>
          <w:sz w:val="20"/>
          <w:szCs w:val="20"/>
        </w:rPr>
        <w:t>56 s.</w:t>
      </w:r>
    </w:p>
    <w:p w:rsidR="00DF128A" w:rsidRPr="00622CAB" w:rsidRDefault="00DF128A" w:rsidP="00622CAB">
      <w:pPr>
        <w:widowControl w:val="0"/>
        <w:spacing w:after="120" w:line="276" w:lineRule="auto"/>
        <w:jc w:val="both"/>
        <w:rPr>
          <w:rFonts w:ascii="Times New Roman" w:hAnsi="Times New Roman" w:cs="Times New Roman"/>
          <w:i/>
          <w:iCs/>
          <w:sz w:val="20"/>
          <w:szCs w:val="20"/>
        </w:rPr>
      </w:pPr>
      <w:r w:rsidRPr="00622CAB">
        <w:rPr>
          <w:rFonts w:ascii="Times New Roman" w:hAnsi="Times New Roman" w:cs="Times New Roman"/>
          <w:i/>
          <w:iCs/>
          <w:sz w:val="20"/>
          <w:szCs w:val="20"/>
        </w:rPr>
        <w:t>Internetové zdroje:</w:t>
      </w:r>
    </w:p>
    <w:p w:rsidR="00DF128A" w:rsidRPr="008848C0" w:rsidRDefault="008848C0" w:rsidP="00622CAB">
      <w:pPr>
        <w:widowControl w:val="0"/>
        <w:spacing w:after="120" w:line="276" w:lineRule="auto"/>
        <w:jc w:val="both"/>
        <w:rPr>
          <w:rFonts w:ascii="Times New Roman" w:hAnsi="Times New Roman" w:cs="Times New Roman"/>
          <w:iCs/>
          <w:sz w:val="20"/>
          <w:szCs w:val="20"/>
        </w:rPr>
      </w:pPr>
      <w:r w:rsidRPr="00DF128A">
        <w:rPr>
          <w:rFonts w:ascii="Times New Roman" w:hAnsi="Times New Roman" w:cs="Times New Roman"/>
          <w:sz w:val="20"/>
          <w:szCs w:val="20"/>
        </w:rPr>
        <w:t>[on-line]. [cit. 2</w:t>
      </w:r>
      <w:r>
        <w:rPr>
          <w:rFonts w:ascii="Times New Roman" w:hAnsi="Times New Roman" w:cs="Times New Roman"/>
          <w:sz w:val="20"/>
          <w:szCs w:val="20"/>
        </w:rPr>
        <w:t>0</w:t>
      </w:r>
      <w:r w:rsidRPr="00DF128A">
        <w:rPr>
          <w:rFonts w:ascii="Times New Roman" w:hAnsi="Times New Roman" w:cs="Times New Roman"/>
          <w:sz w:val="20"/>
          <w:szCs w:val="20"/>
        </w:rPr>
        <w:t xml:space="preserve">. </w:t>
      </w:r>
      <w:r>
        <w:rPr>
          <w:rFonts w:ascii="Times New Roman" w:hAnsi="Times New Roman" w:cs="Times New Roman"/>
          <w:sz w:val="20"/>
          <w:szCs w:val="20"/>
        </w:rPr>
        <w:t>července</w:t>
      </w:r>
      <w:r w:rsidRPr="00DF128A">
        <w:rPr>
          <w:rFonts w:ascii="Times New Roman" w:hAnsi="Times New Roman" w:cs="Times New Roman"/>
          <w:sz w:val="20"/>
          <w:szCs w:val="20"/>
        </w:rPr>
        <w:t xml:space="preserve"> 201</w:t>
      </w:r>
      <w:r>
        <w:rPr>
          <w:rFonts w:ascii="Times New Roman" w:hAnsi="Times New Roman" w:cs="Times New Roman"/>
          <w:sz w:val="20"/>
          <w:szCs w:val="20"/>
        </w:rPr>
        <w:t>1</w:t>
      </w:r>
      <w:r w:rsidRPr="00DF128A">
        <w:rPr>
          <w:rFonts w:ascii="Times New Roman" w:hAnsi="Times New Roman" w:cs="Times New Roman"/>
          <w:sz w:val="20"/>
          <w:szCs w:val="20"/>
        </w:rPr>
        <w:t>]. Dostupné z WWW: &lt;</w:t>
      </w:r>
      <w:r w:rsidR="00DF128A" w:rsidRPr="008848C0">
        <w:rPr>
          <w:rFonts w:ascii="Times New Roman" w:hAnsi="Times New Roman" w:cs="Times New Roman"/>
          <w:iCs/>
          <w:sz w:val="20"/>
          <w:szCs w:val="20"/>
        </w:rPr>
        <w:t>www.rrajm.cz</w:t>
      </w:r>
      <w:r w:rsidRPr="00DF128A">
        <w:rPr>
          <w:rFonts w:ascii="Times New Roman" w:hAnsi="Times New Roman" w:cs="Times New Roman"/>
          <w:sz w:val="20"/>
          <w:szCs w:val="20"/>
        </w:rPr>
        <w:t>&gt;.</w:t>
      </w:r>
    </w:p>
    <w:p w:rsidR="00DF128A" w:rsidRPr="008848C0" w:rsidRDefault="008848C0" w:rsidP="00622CAB">
      <w:pPr>
        <w:widowControl w:val="0"/>
        <w:spacing w:after="120" w:line="276" w:lineRule="auto"/>
        <w:jc w:val="both"/>
        <w:rPr>
          <w:rFonts w:ascii="Times New Roman" w:hAnsi="Times New Roman" w:cs="Times New Roman"/>
          <w:iCs/>
          <w:sz w:val="20"/>
          <w:szCs w:val="20"/>
        </w:rPr>
      </w:pPr>
      <w:r w:rsidRPr="00DF128A">
        <w:rPr>
          <w:rFonts w:ascii="Times New Roman" w:hAnsi="Times New Roman" w:cs="Times New Roman"/>
          <w:sz w:val="20"/>
          <w:szCs w:val="20"/>
        </w:rPr>
        <w:t>[on-line]. [cit. 2</w:t>
      </w:r>
      <w:r>
        <w:rPr>
          <w:rFonts w:ascii="Times New Roman" w:hAnsi="Times New Roman" w:cs="Times New Roman"/>
          <w:sz w:val="20"/>
          <w:szCs w:val="20"/>
        </w:rPr>
        <w:t>0</w:t>
      </w:r>
      <w:r w:rsidRPr="00DF128A">
        <w:rPr>
          <w:rFonts w:ascii="Times New Roman" w:hAnsi="Times New Roman" w:cs="Times New Roman"/>
          <w:sz w:val="20"/>
          <w:szCs w:val="20"/>
        </w:rPr>
        <w:t xml:space="preserve">. </w:t>
      </w:r>
      <w:r>
        <w:rPr>
          <w:rFonts w:ascii="Times New Roman" w:hAnsi="Times New Roman" w:cs="Times New Roman"/>
          <w:sz w:val="20"/>
          <w:szCs w:val="20"/>
        </w:rPr>
        <w:t>července</w:t>
      </w:r>
      <w:r w:rsidRPr="00DF128A">
        <w:rPr>
          <w:rFonts w:ascii="Times New Roman" w:hAnsi="Times New Roman" w:cs="Times New Roman"/>
          <w:sz w:val="20"/>
          <w:szCs w:val="20"/>
        </w:rPr>
        <w:t xml:space="preserve"> 201</w:t>
      </w:r>
      <w:r>
        <w:rPr>
          <w:rFonts w:ascii="Times New Roman" w:hAnsi="Times New Roman" w:cs="Times New Roman"/>
          <w:sz w:val="20"/>
          <w:szCs w:val="20"/>
        </w:rPr>
        <w:t>1</w:t>
      </w:r>
      <w:r w:rsidRPr="00DF128A">
        <w:rPr>
          <w:rFonts w:ascii="Times New Roman" w:hAnsi="Times New Roman" w:cs="Times New Roman"/>
          <w:sz w:val="20"/>
          <w:szCs w:val="20"/>
        </w:rPr>
        <w:t>]. Dostupné z WWW: &lt;</w:t>
      </w:r>
      <w:r w:rsidR="00DF128A" w:rsidRPr="008848C0">
        <w:rPr>
          <w:rFonts w:ascii="Times New Roman" w:hAnsi="Times New Roman" w:cs="Times New Roman"/>
          <w:iCs/>
          <w:sz w:val="20"/>
          <w:szCs w:val="20"/>
        </w:rPr>
        <w:t>www.invest-in-czech.com</w:t>
      </w:r>
      <w:r w:rsidRPr="00DF128A">
        <w:rPr>
          <w:rFonts w:ascii="Times New Roman" w:hAnsi="Times New Roman" w:cs="Times New Roman"/>
          <w:sz w:val="20"/>
          <w:szCs w:val="20"/>
        </w:rPr>
        <w:t>&gt;.</w:t>
      </w:r>
    </w:p>
    <w:p w:rsidR="00DF128A" w:rsidRPr="008848C0" w:rsidRDefault="008848C0" w:rsidP="00622CAB">
      <w:pPr>
        <w:widowControl w:val="0"/>
        <w:spacing w:after="120" w:line="276" w:lineRule="auto"/>
        <w:jc w:val="both"/>
        <w:rPr>
          <w:bCs/>
          <w:iCs/>
          <w:sz w:val="20"/>
          <w:szCs w:val="20"/>
        </w:rPr>
      </w:pPr>
      <w:r w:rsidRPr="00DF128A">
        <w:rPr>
          <w:rFonts w:ascii="Times New Roman" w:hAnsi="Times New Roman" w:cs="Times New Roman"/>
          <w:sz w:val="20"/>
          <w:szCs w:val="20"/>
        </w:rPr>
        <w:t>[on-line]. [cit. 2</w:t>
      </w:r>
      <w:r>
        <w:rPr>
          <w:rFonts w:ascii="Times New Roman" w:hAnsi="Times New Roman" w:cs="Times New Roman"/>
          <w:sz w:val="20"/>
          <w:szCs w:val="20"/>
        </w:rPr>
        <w:t>0</w:t>
      </w:r>
      <w:r w:rsidRPr="00DF128A">
        <w:rPr>
          <w:rFonts w:ascii="Times New Roman" w:hAnsi="Times New Roman" w:cs="Times New Roman"/>
          <w:sz w:val="20"/>
          <w:szCs w:val="20"/>
        </w:rPr>
        <w:t xml:space="preserve">. </w:t>
      </w:r>
      <w:r>
        <w:rPr>
          <w:rFonts w:ascii="Times New Roman" w:hAnsi="Times New Roman" w:cs="Times New Roman"/>
          <w:sz w:val="20"/>
          <w:szCs w:val="20"/>
        </w:rPr>
        <w:t>července</w:t>
      </w:r>
      <w:r w:rsidRPr="00DF128A">
        <w:rPr>
          <w:rFonts w:ascii="Times New Roman" w:hAnsi="Times New Roman" w:cs="Times New Roman"/>
          <w:sz w:val="20"/>
          <w:szCs w:val="20"/>
        </w:rPr>
        <w:t xml:space="preserve"> 201</w:t>
      </w:r>
      <w:r>
        <w:rPr>
          <w:rFonts w:ascii="Times New Roman" w:hAnsi="Times New Roman" w:cs="Times New Roman"/>
          <w:sz w:val="20"/>
          <w:szCs w:val="20"/>
        </w:rPr>
        <w:t>1</w:t>
      </w:r>
      <w:r w:rsidRPr="00DF128A">
        <w:rPr>
          <w:rFonts w:ascii="Times New Roman" w:hAnsi="Times New Roman" w:cs="Times New Roman"/>
          <w:sz w:val="20"/>
          <w:szCs w:val="20"/>
        </w:rPr>
        <w:t>]. Dostupné z WWW: &lt;</w:t>
      </w:r>
      <w:r w:rsidR="00DF128A" w:rsidRPr="008848C0">
        <w:rPr>
          <w:iCs/>
          <w:sz w:val="20"/>
          <w:szCs w:val="20"/>
        </w:rPr>
        <w:t>www.brno.cz</w:t>
      </w:r>
      <w:r w:rsidRPr="00DF128A">
        <w:rPr>
          <w:rFonts w:ascii="Times New Roman" w:hAnsi="Times New Roman" w:cs="Times New Roman"/>
          <w:sz w:val="20"/>
          <w:szCs w:val="20"/>
        </w:rPr>
        <w:t>&gt;.</w:t>
      </w:r>
    </w:p>
    <w:p w:rsidR="00DF128A" w:rsidRPr="008848C0" w:rsidRDefault="008848C0" w:rsidP="00622CAB">
      <w:pPr>
        <w:widowControl w:val="0"/>
        <w:spacing w:after="120" w:line="276" w:lineRule="auto"/>
        <w:jc w:val="both"/>
        <w:rPr>
          <w:bCs/>
          <w:iCs/>
          <w:sz w:val="20"/>
          <w:szCs w:val="20"/>
        </w:rPr>
      </w:pPr>
      <w:r w:rsidRPr="00DF128A">
        <w:rPr>
          <w:rFonts w:ascii="Times New Roman" w:hAnsi="Times New Roman" w:cs="Times New Roman"/>
          <w:sz w:val="20"/>
          <w:szCs w:val="20"/>
        </w:rPr>
        <w:t>[on-line]. [cit. 2</w:t>
      </w:r>
      <w:r>
        <w:rPr>
          <w:rFonts w:ascii="Times New Roman" w:hAnsi="Times New Roman" w:cs="Times New Roman"/>
          <w:sz w:val="20"/>
          <w:szCs w:val="20"/>
        </w:rPr>
        <w:t>0</w:t>
      </w:r>
      <w:r w:rsidRPr="00DF128A">
        <w:rPr>
          <w:rFonts w:ascii="Times New Roman" w:hAnsi="Times New Roman" w:cs="Times New Roman"/>
          <w:sz w:val="20"/>
          <w:szCs w:val="20"/>
        </w:rPr>
        <w:t xml:space="preserve">. </w:t>
      </w:r>
      <w:r>
        <w:rPr>
          <w:rFonts w:ascii="Times New Roman" w:hAnsi="Times New Roman" w:cs="Times New Roman"/>
          <w:sz w:val="20"/>
          <w:szCs w:val="20"/>
        </w:rPr>
        <w:t>července</w:t>
      </w:r>
      <w:r w:rsidRPr="00DF128A">
        <w:rPr>
          <w:rFonts w:ascii="Times New Roman" w:hAnsi="Times New Roman" w:cs="Times New Roman"/>
          <w:sz w:val="20"/>
          <w:szCs w:val="20"/>
        </w:rPr>
        <w:t xml:space="preserve"> 201</w:t>
      </w:r>
      <w:r>
        <w:rPr>
          <w:rFonts w:ascii="Times New Roman" w:hAnsi="Times New Roman" w:cs="Times New Roman"/>
          <w:sz w:val="20"/>
          <w:szCs w:val="20"/>
        </w:rPr>
        <w:t>1</w:t>
      </w:r>
      <w:r w:rsidRPr="00DF128A">
        <w:rPr>
          <w:rFonts w:ascii="Times New Roman" w:hAnsi="Times New Roman" w:cs="Times New Roman"/>
          <w:sz w:val="20"/>
          <w:szCs w:val="20"/>
        </w:rPr>
        <w:t>]. Dostupné z WWW: &lt;</w:t>
      </w:r>
      <w:r w:rsidR="00DF128A" w:rsidRPr="008848C0">
        <w:rPr>
          <w:iCs/>
          <w:sz w:val="20"/>
          <w:szCs w:val="20"/>
        </w:rPr>
        <w:t>www.mesto-modrice.cz</w:t>
      </w:r>
      <w:r w:rsidRPr="00DF128A">
        <w:rPr>
          <w:rFonts w:ascii="Times New Roman" w:hAnsi="Times New Roman" w:cs="Times New Roman"/>
          <w:sz w:val="20"/>
          <w:szCs w:val="20"/>
        </w:rPr>
        <w:t>&gt;.</w:t>
      </w:r>
    </w:p>
    <w:p w:rsidR="00DF128A" w:rsidRPr="008848C0" w:rsidRDefault="008848C0" w:rsidP="00622CAB">
      <w:pPr>
        <w:widowControl w:val="0"/>
        <w:spacing w:after="120" w:line="276" w:lineRule="auto"/>
        <w:jc w:val="both"/>
        <w:rPr>
          <w:rFonts w:ascii="Times New Roman" w:hAnsi="Times New Roman" w:cs="Times New Roman"/>
          <w:iCs/>
          <w:sz w:val="20"/>
          <w:szCs w:val="20"/>
        </w:rPr>
      </w:pPr>
      <w:r w:rsidRPr="00DF128A">
        <w:rPr>
          <w:rFonts w:ascii="Times New Roman" w:hAnsi="Times New Roman" w:cs="Times New Roman"/>
          <w:sz w:val="20"/>
          <w:szCs w:val="20"/>
        </w:rPr>
        <w:t>[on-line]. [cit. 2</w:t>
      </w:r>
      <w:r>
        <w:rPr>
          <w:rFonts w:ascii="Times New Roman" w:hAnsi="Times New Roman" w:cs="Times New Roman"/>
          <w:sz w:val="20"/>
          <w:szCs w:val="20"/>
        </w:rPr>
        <w:t>0</w:t>
      </w:r>
      <w:r w:rsidRPr="00DF128A">
        <w:rPr>
          <w:rFonts w:ascii="Times New Roman" w:hAnsi="Times New Roman" w:cs="Times New Roman"/>
          <w:sz w:val="20"/>
          <w:szCs w:val="20"/>
        </w:rPr>
        <w:t xml:space="preserve">. </w:t>
      </w:r>
      <w:r>
        <w:rPr>
          <w:rFonts w:ascii="Times New Roman" w:hAnsi="Times New Roman" w:cs="Times New Roman"/>
          <w:sz w:val="20"/>
          <w:szCs w:val="20"/>
        </w:rPr>
        <w:t>července</w:t>
      </w:r>
      <w:r w:rsidRPr="00DF128A">
        <w:rPr>
          <w:rFonts w:ascii="Times New Roman" w:hAnsi="Times New Roman" w:cs="Times New Roman"/>
          <w:sz w:val="20"/>
          <w:szCs w:val="20"/>
        </w:rPr>
        <w:t xml:space="preserve"> 201</w:t>
      </w:r>
      <w:r>
        <w:rPr>
          <w:rFonts w:ascii="Times New Roman" w:hAnsi="Times New Roman" w:cs="Times New Roman"/>
          <w:sz w:val="20"/>
          <w:szCs w:val="20"/>
        </w:rPr>
        <w:t>1</w:t>
      </w:r>
      <w:r w:rsidRPr="00DF128A">
        <w:rPr>
          <w:rFonts w:ascii="Times New Roman" w:hAnsi="Times New Roman" w:cs="Times New Roman"/>
          <w:sz w:val="20"/>
          <w:szCs w:val="20"/>
        </w:rPr>
        <w:t>]. Dostupné z WWW: &lt;</w:t>
      </w:r>
      <w:r w:rsidR="00DF128A" w:rsidRPr="008848C0">
        <w:rPr>
          <w:bCs/>
          <w:iCs/>
          <w:sz w:val="20"/>
          <w:szCs w:val="20"/>
        </w:rPr>
        <w:t>www.czech.cz</w:t>
      </w:r>
      <w:r w:rsidRPr="00DF128A">
        <w:rPr>
          <w:rFonts w:ascii="Times New Roman" w:hAnsi="Times New Roman" w:cs="Times New Roman"/>
          <w:sz w:val="20"/>
          <w:szCs w:val="20"/>
        </w:rPr>
        <w:t>&gt;.</w:t>
      </w:r>
    </w:p>
    <w:p w:rsidR="008848C0" w:rsidRDefault="008848C0" w:rsidP="00622CAB">
      <w:pPr>
        <w:widowControl w:val="0"/>
        <w:spacing w:after="120" w:line="276" w:lineRule="auto"/>
        <w:jc w:val="both"/>
        <w:rPr>
          <w:rFonts w:ascii="Times New Roman" w:hAnsi="Times New Roman" w:cs="Times New Roman"/>
          <w:sz w:val="20"/>
          <w:szCs w:val="20"/>
        </w:rPr>
      </w:pPr>
      <w:r w:rsidRPr="00DF128A">
        <w:rPr>
          <w:rFonts w:ascii="Times New Roman" w:hAnsi="Times New Roman" w:cs="Times New Roman"/>
          <w:sz w:val="20"/>
          <w:szCs w:val="20"/>
        </w:rPr>
        <w:t>[on-line]. [cit. 2</w:t>
      </w:r>
      <w:r>
        <w:rPr>
          <w:rFonts w:ascii="Times New Roman" w:hAnsi="Times New Roman" w:cs="Times New Roman"/>
          <w:sz w:val="20"/>
          <w:szCs w:val="20"/>
        </w:rPr>
        <w:t>0</w:t>
      </w:r>
      <w:r w:rsidRPr="00DF128A">
        <w:rPr>
          <w:rFonts w:ascii="Times New Roman" w:hAnsi="Times New Roman" w:cs="Times New Roman"/>
          <w:sz w:val="20"/>
          <w:szCs w:val="20"/>
        </w:rPr>
        <w:t xml:space="preserve">. </w:t>
      </w:r>
      <w:r>
        <w:rPr>
          <w:rFonts w:ascii="Times New Roman" w:hAnsi="Times New Roman" w:cs="Times New Roman"/>
          <w:sz w:val="20"/>
          <w:szCs w:val="20"/>
        </w:rPr>
        <w:t>července</w:t>
      </w:r>
      <w:r w:rsidRPr="00DF128A">
        <w:rPr>
          <w:rFonts w:ascii="Times New Roman" w:hAnsi="Times New Roman" w:cs="Times New Roman"/>
          <w:sz w:val="20"/>
          <w:szCs w:val="20"/>
        </w:rPr>
        <w:t xml:space="preserve"> 201</w:t>
      </w:r>
      <w:r>
        <w:rPr>
          <w:rFonts w:ascii="Times New Roman" w:hAnsi="Times New Roman" w:cs="Times New Roman"/>
          <w:sz w:val="20"/>
          <w:szCs w:val="20"/>
        </w:rPr>
        <w:t>1</w:t>
      </w:r>
      <w:r w:rsidRPr="00DF128A">
        <w:rPr>
          <w:rFonts w:ascii="Times New Roman" w:hAnsi="Times New Roman" w:cs="Times New Roman"/>
          <w:sz w:val="20"/>
          <w:szCs w:val="20"/>
        </w:rPr>
        <w:t>]. Dostupné z WWW: &lt;</w:t>
      </w:r>
      <w:r w:rsidR="00DF128A" w:rsidRPr="008848C0">
        <w:rPr>
          <w:rFonts w:ascii="Times New Roman" w:hAnsi="Times New Roman" w:cs="Times New Roman"/>
          <w:iCs/>
          <w:sz w:val="20"/>
          <w:szCs w:val="20"/>
        </w:rPr>
        <w:t>www.ltc-k64.cz</w:t>
      </w:r>
      <w:r>
        <w:rPr>
          <w:rFonts w:ascii="Times New Roman" w:hAnsi="Times New Roman" w:cs="Times New Roman"/>
          <w:sz w:val="20"/>
          <w:szCs w:val="20"/>
        </w:rPr>
        <w:t>&gt;.</w:t>
      </w:r>
    </w:p>
    <w:p w:rsidR="00DF128A" w:rsidRPr="008848C0" w:rsidRDefault="008848C0" w:rsidP="00622CAB">
      <w:pPr>
        <w:widowControl w:val="0"/>
        <w:spacing w:after="120" w:line="276" w:lineRule="auto"/>
        <w:jc w:val="both"/>
        <w:rPr>
          <w:rFonts w:ascii="Times New Roman" w:hAnsi="Times New Roman" w:cs="Times New Roman"/>
          <w:iCs/>
          <w:sz w:val="20"/>
          <w:szCs w:val="20"/>
        </w:rPr>
      </w:pPr>
      <w:r w:rsidRPr="00DF128A">
        <w:rPr>
          <w:rFonts w:ascii="Times New Roman" w:hAnsi="Times New Roman" w:cs="Times New Roman"/>
          <w:sz w:val="20"/>
          <w:szCs w:val="20"/>
        </w:rPr>
        <w:t>[on-line]. [cit. 2</w:t>
      </w:r>
      <w:r>
        <w:rPr>
          <w:rFonts w:ascii="Times New Roman" w:hAnsi="Times New Roman" w:cs="Times New Roman"/>
          <w:sz w:val="20"/>
          <w:szCs w:val="20"/>
        </w:rPr>
        <w:t>0</w:t>
      </w:r>
      <w:r w:rsidRPr="00DF128A">
        <w:rPr>
          <w:rFonts w:ascii="Times New Roman" w:hAnsi="Times New Roman" w:cs="Times New Roman"/>
          <w:sz w:val="20"/>
          <w:szCs w:val="20"/>
        </w:rPr>
        <w:t xml:space="preserve">. </w:t>
      </w:r>
      <w:r>
        <w:rPr>
          <w:rFonts w:ascii="Times New Roman" w:hAnsi="Times New Roman" w:cs="Times New Roman"/>
          <w:sz w:val="20"/>
          <w:szCs w:val="20"/>
        </w:rPr>
        <w:t>července</w:t>
      </w:r>
      <w:r w:rsidRPr="00DF128A">
        <w:rPr>
          <w:rFonts w:ascii="Times New Roman" w:hAnsi="Times New Roman" w:cs="Times New Roman"/>
          <w:sz w:val="20"/>
          <w:szCs w:val="20"/>
        </w:rPr>
        <w:t xml:space="preserve"> 201</w:t>
      </w:r>
      <w:r>
        <w:rPr>
          <w:rFonts w:ascii="Times New Roman" w:hAnsi="Times New Roman" w:cs="Times New Roman"/>
          <w:sz w:val="20"/>
          <w:szCs w:val="20"/>
        </w:rPr>
        <w:t>1</w:t>
      </w:r>
      <w:r w:rsidRPr="00DF128A">
        <w:rPr>
          <w:rFonts w:ascii="Times New Roman" w:hAnsi="Times New Roman" w:cs="Times New Roman"/>
          <w:sz w:val="20"/>
          <w:szCs w:val="20"/>
        </w:rPr>
        <w:t>]. Dostupné z WWW: &lt;</w:t>
      </w:r>
      <w:r w:rsidR="00DF128A" w:rsidRPr="008848C0">
        <w:rPr>
          <w:rFonts w:ascii="Times New Roman" w:hAnsi="Times New Roman" w:cs="Times New Roman"/>
          <w:iCs/>
          <w:sz w:val="20"/>
          <w:szCs w:val="20"/>
        </w:rPr>
        <w:t>www.technologypark.cz</w:t>
      </w:r>
      <w:r w:rsidRPr="00DF128A">
        <w:rPr>
          <w:rFonts w:ascii="Times New Roman" w:hAnsi="Times New Roman" w:cs="Times New Roman"/>
          <w:sz w:val="20"/>
          <w:szCs w:val="20"/>
        </w:rPr>
        <w:t>&gt;.</w:t>
      </w:r>
    </w:p>
    <w:p w:rsidR="00DF128A" w:rsidRPr="008848C0" w:rsidRDefault="008848C0" w:rsidP="008848C0">
      <w:pPr>
        <w:widowControl w:val="0"/>
        <w:spacing w:after="120" w:line="276" w:lineRule="auto"/>
        <w:jc w:val="both"/>
        <w:rPr>
          <w:rFonts w:ascii="Times New Roman" w:hAnsi="Times New Roman" w:cs="Times New Roman"/>
          <w:iCs/>
          <w:sz w:val="20"/>
          <w:szCs w:val="20"/>
        </w:rPr>
      </w:pPr>
      <w:r w:rsidRPr="008848C0">
        <w:rPr>
          <w:rFonts w:ascii="Times New Roman" w:hAnsi="Times New Roman" w:cs="Times New Roman"/>
          <w:i/>
          <w:iCs/>
          <w:sz w:val="20"/>
          <w:szCs w:val="20"/>
        </w:rPr>
        <w:t xml:space="preserve">Strategie rozvoje Jihomoravského kraje </w:t>
      </w:r>
      <w:r w:rsidRPr="00DF128A">
        <w:rPr>
          <w:rFonts w:ascii="Times New Roman" w:hAnsi="Times New Roman" w:cs="Times New Roman"/>
          <w:sz w:val="20"/>
          <w:szCs w:val="20"/>
        </w:rPr>
        <w:t>[on-line]. [cit. 2</w:t>
      </w:r>
      <w:r>
        <w:rPr>
          <w:rFonts w:ascii="Times New Roman" w:hAnsi="Times New Roman" w:cs="Times New Roman"/>
          <w:sz w:val="20"/>
          <w:szCs w:val="20"/>
        </w:rPr>
        <w:t>0</w:t>
      </w:r>
      <w:r w:rsidRPr="00DF128A">
        <w:rPr>
          <w:rFonts w:ascii="Times New Roman" w:hAnsi="Times New Roman" w:cs="Times New Roman"/>
          <w:sz w:val="20"/>
          <w:szCs w:val="20"/>
        </w:rPr>
        <w:t xml:space="preserve">. </w:t>
      </w:r>
      <w:r>
        <w:rPr>
          <w:rFonts w:ascii="Times New Roman" w:hAnsi="Times New Roman" w:cs="Times New Roman"/>
          <w:sz w:val="20"/>
          <w:szCs w:val="20"/>
        </w:rPr>
        <w:t>července</w:t>
      </w:r>
      <w:r w:rsidRPr="00DF128A">
        <w:rPr>
          <w:rFonts w:ascii="Times New Roman" w:hAnsi="Times New Roman" w:cs="Times New Roman"/>
          <w:sz w:val="20"/>
          <w:szCs w:val="20"/>
        </w:rPr>
        <w:t xml:space="preserve"> 201</w:t>
      </w:r>
      <w:r>
        <w:rPr>
          <w:rFonts w:ascii="Times New Roman" w:hAnsi="Times New Roman" w:cs="Times New Roman"/>
          <w:sz w:val="20"/>
          <w:szCs w:val="20"/>
        </w:rPr>
        <w:t>1</w:t>
      </w:r>
      <w:r w:rsidRPr="00DF128A">
        <w:rPr>
          <w:rFonts w:ascii="Times New Roman" w:hAnsi="Times New Roman" w:cs="Times New Roman"/>
          <w:sz w:val="20"/>
          <w:szCs w:val="20"/>
        </w:rPr>
        <w:t>]. Dostupné z WWW: &lt;</w:t>
      </w:r>
      <w:r w:rsidR="00DF128A" w:rsidRPr="008848C0">
        <w:rPr>
          <w:rFonts w:ascii="Times New Roman" w:hAnsi="Times New Roman" w:cs="Times New Roman"/>
          <w:iCs/>
          <w:sz w:val="20"/>
          <w:szCs w:val="20"/>
        </w:rPr>
        <w:t>http://www.kr-jihomoravsky.cz/Default.aspx?PubID=16119&amp;TypeID=2</w:t>
      </w:r>
      <w:r w:rsidRPr="00DF128A">
        <w:rPr>
          <w:rFonts w:ascii="Times New Roman" w:hAnsi="Times New Roman" w:cs="Times New Roman"/>
          <w:sz w:val="20"/>
          <w:szCs w:val="20"/>
        </w:rPr>
        <w:t>&gt;.</w:t>
      </w:r>
    </w:p>
    <w:p w:rsidR="00DF128A" w:rsidRPr="008848C0" w:rsidRDefault="008848C0" w:rsidP="00622CAB">
      <w:pPr>
        <w:widowControl w:val="0"/>
        <w:spacing w:after="120" w:line="276" w:lineRule="auto"/>
        <w:jc w:val="both"/>
        <w:rPr>
          <w:rFonts w:ascii="Times New Roman" w:hAnsi="Times New Roman" w:cs="Times New Roman"/>
          <w:iCs/>
          <w:sz w:val="20"/>
          <w:szCs w:val="20"/>
        </w:rPr>
      </w:pPr>
      <w:r w:rsidRPr="00DF128A">
        <w:rPr>
          <w:rFonts w:ascii="Times New Roman" w:hAnsi="Times New Roman" w:cs="Times New Roman"/>
          <w:sz w:val="20"/>
          <w:szCs w:val="20"/>
        </w:rPr>
        <w:t>[cit. 2</w:t>
      </w:r>
      <w:r>
        <w:rPr>
          <w:rFonts w:ascii="Times New Roman" w:hAnsi="Times New Roman" w:cs="Times New Roman"/>
          <w:sz w:val="20"/>
          <w:szCs w:val="20"/>
        </w:rPr>
        <w:t>0</w:t>
      </w:r>
      <w:r w:rsidRPr="00DF128A">
        <w:rPr>
          <w:rFonts w:ascii="Times New Roman" w:hAnsi="Times New Roman" w:cs="Times New Roman"/>
          <w:sz w:val="20"/>
          <w:szCs w:val="20"/>
        </w:rPr>
        <w:t xml:space="preserve">. </w:t>
      </w:r>
      <w:r>
        <w:rPr>
          <w:rFonts w:ascii="Times New Roman" w:hAnsi="Times New Roman" w:cs="Times New Roman"/>
          <w:sz w:val="20"/>
          <w:szCs w:val="20"/>
        </w:rPr>
        <w:t>července</w:t>
      </w:r>
      <w:r w:rsidRPr="00DF128A">
        <w:rPr>
          <w:rFonts w:ascii="Times New Roman" w:hAnsi="Times New Roman" w:cs="Times New Roman"/>
          <w:sz w:val="20"/>
          <w:szCs w:val="20"/>
        </w:rPr>
        <w:t xml:space="preserve"> 201</w:t>
      </w:r>
      <w:r>
        <w:rPr>
          <w:rFonts w:ascii="Times New Roman" w:hAnsi="Times New Roman" w:cs="Times New Roman"/>
          <w:sz w:val="20"/>
          <w:szCs w:val="20"/>
        </w:rPr>
        <w:t>1</w:t>
      </w:r>
      <w:r w:rsidRPr="00DF128A">
        <w:rPr>
          <w:rFonts w:ascii="Times New Roman" w:hAnsi="Times New Roman" w:cs="Times New Roman"/>
          <w:sz w:val="20"/>
          <w:szCs w:val="20"/>
        </w:rPr>
        <w:t>]. Dostupné z WWW: &lt;</w:t>
      </w:r>
      <w:r w:rsidR="00DF128A" w:rsidRPr="008848C0">
        <w:rPr>
          <w:rFonts w:ascii="Times New Roman" w:hAnsi="Times New Roman" w:cs="Times New Roman"/>
          <w:iCs/>
          <w:sz w:val="20"/>
          <w:szCs w:val="20"/>
        </w:rPr>
        <w:t>http://www.bluereal.cz/aktuality/ctp-ma-predbezne-najemce-pro-petinu-rozsahle-z%C3%B3ny-ve-slapanicich-14.html</w:t>
      </w:r>
      <w:r w:rsidRPr="00DF128A">
        <w:rPr>
          <w:rFonts w:ascii="Times New Roman" w:hAnsi="Times New Roman" w:cs="Times New Roman"/>
          <w:sz w:val="20"/>
          <w:szCs w:val="20"/>
        </w:rPr>
        <w:t>&gt;.</w:t>
      </w:r>
    </w:p>
    <w:p w:rsidR="00DF128A" w:rsidRPr="00DF128A" w:rsidRDefault="00DF128A" w:rsidP="00424726">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br w:type="page"/>
      </w:r>
    </w:p>
    <w:p w:rsidR="00DF128A" w:rsidRPr="00DF128A" w:rsidRDefault="00DF128A" w:rsidP="009B5078">
      <w:pPr>
        <w:pStyle w:val="Nadpis1"/>
        <w:ind w:firstLine="0"/>
      </w:pPr>
      <w:bookmarkStart w:id="12" w:name="_Toc331023957"/>
      <w:r w:rsidRPr="00DF128A">
        <w:lastRenderedPageBreak/>
        <w:t>SPOLEČNOST FLEXTRONICS A JEJÍ PŮSOBENÍ V MĚSTĚ BRNĚ</w:t>
      </w:r>
      <w:bookmarkEnd w:id="12"/>
    </w:p>
    <w:p w:rsidR="00244EC4" w:rsidRDefault="00244EC4" w:rsidP="00244EC4">
      <w:pPr>
        <w:pStyle w:val="NZEVKAPITOLY"/>
        <w:widowControl w:val="0"/>
        <w:spacing w:line="276" w:lineRule="auto"/>
        <w:jc w:val="center"/>
        <w:rPr>
          <w:b w:val="0"/>
          <w:i/>
          <w:caps w:val="0"/>
          <w:sz w:val="24"/>
          <w:szCs w:val="24"/>
        </w:rPr>
      </w:pPr>
    </w:p>
    <w:p w:rsidR="00244EC4" w:rsidRPr="00244EC4" w:rsidRDefault="00244EC4" w:rsidP="00244EC4">
      <w:pPr>
        <w:pStyle w:val="NZEVKAPITOLY"/>
        <w:widowControl w:val="0"/>
        <w:spacing w:line="276" w:lineRule="auto"/>
        <w:jc w:val="center"/>
        <w:rPr>
          <w:b w:val="0"/>
          <w:i/>
          <w:caps w:val="0"/>
          <w:sz w:val="24"/>
          <w:szCs w:val="24"/>
        </w:rPr>
      </w:pPr>
      <w:r w:rsidRPr="00244EC4">
        <w:rPr>
          <w:b w:val="0"/>
          <w:i/>
          <w:caps w:val="0"/>
          <w:sz w:val="24"/>
          <w:szCs w:val="24"/>
        </w:rPr>
        <w:t>Vojtěch Trmač</w:t>
      </w:r>
    </w:p>
    <w:p w:rsidR="00244EC4" w:rsidRDefault="00244EC4" w:rsidP="00B00A16">
      <w:pPr>
        <w:pStyle w:val="NZEVPODKAPITOLY"/>
        <w:widowControl w:val="0"/>
        <w:spacing w:line="276" w:lineRule="auto"/>
        <w:jc w:val="both"/>
        <w:rPr>
          <w:sz w:val="24"/>
          <w:szCs w:val="24"/>
        </w:rPr>
      </w:pPr>
    </w:p>
    <w:p w:rsidR="00DF128A" w:rsidRPr="00DF128A" w:rsidRDefault="00DF128A" w:rsidP="00DF128A">
      <w:pPr>
        <w:pStyle w:val="Normlnweb"/>
        <w:widowControl w:val="0"/>
        <w:spacing w:before="0" w:beforeAutospacing="0" w:after="0" w:afterAutospacing="0" w:line="276" w:lineRule="auto"/>
        <w:ind w:firstLine="709"/>
        <w:jc w:val="both"/>
      </w:pPr>
      <w:r w:rsidRPr="00DF128A">
        <w:t>Tato práce se zabývá společností Flextronics a následně jejím konkrétním působením v městě Brně. Práce je zaměřena tak, aby se nal</w:t>
      </w:r>
      <w:r w:rsidR="00244EC4">
        <w:t>ezla</w:t>
      </w:r>
      <w:r w:rsidRPr="00DF128A">
        <w:t xml:space="preserve"> odpověď na otázku, jak globálně se společnost Flextronics chová a jakou roli hrála globalizace v jejím působení v městě Brně, zvláště pak v jejím rozhodnutí o ukončení výroby na Černovické terase. </w:t>
      </w:r>
    </w:p>
    <w:p w:rsidR="00DF128A" w:rsidRPr="00DF128A" w:rsidRDefault="00DF128A" w:rsidP="00DF128A">
      <w:pPr>
        <w:pStyle w:val="Normlnweb"/>
        <w:widowControl w:val="0"/>
        <w:spacing w:before="0" w:beforeAutospacing="0" w:after="0" w:afterAutospacing="0" w:line="276" w:lineRule="auto"/>
        <w:ind w:firstLine="709"/>
        <w:jc w:val="both"/>
      </w:pPr>
    </w:p>
    <w:p w:rsidR="00DF128A" w:rsidRPr="00B00A16" w:rsidRDefault="00DF128A" w:rsidP="00B00A16">
      <w:pPr>
        <w:pStyle w:val="NZEVPODKAPITOLY"/>
        <w:widowControl w:val="0"/>
        <w:spacing w:line="276" w:lineRule="auto"/>
        <w:jc w:val="both"/>
        <w:rPr>
          <w:sz w:val="24"/>
          <w:szCs w:val="24"/>
        </w:rPr>
      </w:pPr>
      <w:r w:rsidRPr="00DF128A">
        <w:rPr>
          <w:sz w:val="24"/>
          <w:szCs w:val="24"/>
        </w:rPr>
        <w:t>Spole</w:t>
      </w:r>
      <w:r w:rsidR="00B00A16">
        <w:rPr>
          <w:sz w:val="24"/>
          <w:szCs w:val="24"/>
        </w:rPr>
        <w:t>čnost Flextronics International</w:t>
      </w:r>
    </w:p>
    <w:p w:rsidR="00DF128A" w:rsidRPr="00DF128A" w:rsidRDefault="00DF128A" w:rsidP="00DF128A">
      <w:pPr>
        <w:pStyle w:val="Normlnweb"/>
        <w:widowControl w:val="0"/>
        <w:spacing w:before="0" w:beforeAutospacing="0" w:after="0" w:afterAutospacing="0" w:line="276" w:lineRule="auto"/>
        <w:ind w:firstLine="709"/>
        <w:jc w:val="both"/>
      </w:pPr>
      <w:r w:rsidRPr="00DF128A">
        <w:t>Flextronics, jehož centrála leží v Singapuru, je poskytovatel</w:t>
      </w:r>
      <w:r w:rsidR="00244EC4">
        <w:t>em</w:t>
      </w:r>
      <w:r w:rsidRPr="00DF128A">
        <w:t xml:space="preserve"> služeb výrob</w:t>
      </w:r>
      <w:r w:rsidR="00244EC4">
        <w:t>cům</w:t>
      </w:r>
      <w:r w:rsidRPr="00DF128A">
        <w:t xml:space="preserve"> elektroniky, zaměřený na vývoj a výrobní služby pro automobilové, průmyslové, medicínské, a technologické společnosti. Ve finančním roce 2005 činily tržby 15,3 miliard USD. Flextronics působí v oblastech návrhu, výroby, logistiky, a servisu elektronických výrobků pomocí sítě výrobních a vývojových center ve více než 30 zemích pěti kontinentů (</w:t>
      </w:r>
      <w:r w:rsidRPr="00244EC4">
        <w:t>O společnosti Flextronics 2006</w:t>
      </w:r>
      <w:r w:rsidRPr="00DF128A">
        <w:t>).</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128A" w:rsidP="00B00A16">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Globální výroba</w:t>
      </w:r>
    </w:p>
    <w:p w:rsidR="00DF128A" w:rsidRPr="00DF128A" w:rsidRDefault="00DF128A" w:rsidP="00DF128A">
      <w:pPr>
        <w:pStyle w:val="Normlnweb"/>
        <w:widowControl w:val="0"/>
        <w:spacing w:before="0" w:beforeAutospacing="0" w:after="0" w:afterAutospacing="0" w:line="276" w:lineRule="auto"/>
        <w:ind w:firstLine="709"/>
        <w:jc w:val="both"/>
      </w:pPr>
      <w:r w:rsidRPr="00DF128A">
        <w:t>Takzvané značkové firmy v dnešní době stále méně často provozují vlastní výrobní závody</w:t>
      </w:r>
      <w:r w:rsidR="00244EC4">
        <w:t>, protože se jim vlastní výroba ne</w:t>
      </w:r>
      <w:r w:rsidRPr="00DF128A">
        <w:t>vyplácí. Namísto toho zadávají výrobu specialistům, kteří zůstávají veřejnosti neviditelní: z jejich výrobních pásů sjíždějí krabice opatřené značkami Compaq, HP, IBM či Sony. V počítačovém slangu se takovým specialistům na výrobu říká OEM, Original Equipment Manufacturer, Flextronics je mezi nimi třetí největší na světě. Flextronics se zaměřuje na konkrétní segmenty trhu, což přináší výhody jeho zákazníkům, zlepšení konkurenceschopnosti a vzrůst podílu na trhu. Tento přístup přináší výhody tzv. Economies-of-scale, tedy úspor z rozsahu (</w:t>
      </w:r>
      <w:r w:rsidR="00244EC4">
        <w:t>Koubský</w:t>
      </w:r>
      <w:r w:rsidRPr="00DF128A">
        <w:t xml:space="preserve"> 2002). Sama společnost Flextronics však termínem Original Equipment Manufacturer neoznačuje sebe - globálního výrobce, ale své zákazníky – značkové firmy. Terminologický konsenzus tedy chybí. Termín Original Design Manufacturer (ODM) označuje situaci, kdy kromě výroby zajišťuje firma jako Flextronics také design výrobku pro svého značkového zákazníka (</w:t>
      </w:r>
      <w:r w:rsidRPr="00244EC4">
        <w:t>O společnosti Flextronics</w:t>
      </w:r>
      <w:r w:rsidRPr="00DF128A">
        <w:t xml:space="preserve"> 2006).</w:t>
      </w:r>
    </w:p>
    <w:p w:rsidR="00DF128A" w:rsidRPr="00DF128A" w:rsidRDefault="00DF128A" w:rsidP="00DF128A">
      <w:pPr>
        <w:pStyle w:val="Normlnweb"/>
        <w:widowControl w:val="0"/>
        <w:spacing w:before="0" w:beforeAutospacing="0" w:after="0" w:afterAutospacing="0" w:line="276" w:lineRule="auto"/>
        <w:ind w:firstLine="709"/>
        <w:jc w:val="both"/>
      </w:pPr>
      <w:r w:rsidRPr="00DF128A">
        <w:t xml:space="preserve">Flextronics staví </w:t>
      </w:r>
      <w:r w:rsidR="00244EC4">
        <w:t>především na</w:t>
      </w:r>
      <w:r w:rsidRPr="00DF128A">
        <w:t xml:space="preserve"> globálních designových služb</w:t>
      </w:r>
      <w:r w:rsidR="00244EC4">
        <w:t>ách</w:t>
      </w:r>
      <w:r w:rsidRPr="00DF128A">
        <w:t>. Vývoj a související inženýrské služby obsahují všechny aspekty vývoje produktu včetně průmyslového designu, uživatelského rozhraní a mechanického vývoje, hardwarového vývoje, vývoje softwaru a aplikací, vývoj desek plošných spojů a polovodičů, systémové zkoušení a testování. Díky kombinaci vývoje a výrobních služeb Flextronics poskytuje ODM řešení pro mobilní telefony a další produkty spotřební elektroniky, které jsou prodávány jeho zákazníky</w:t>
      </w:r>
      <w:r w:rsidR="00244EC4">
        <w:t xml:space="preserve"> pod jejich vlastními značkami </w:t>
      </w:r>
      <w:r w:rsidRPr="00DF128A">
        <w:t>(</w:t>
      </w:r>
      <w:r w:rsidRPr="00DF128A">
        <w:rPr>
          <w:i/>
        </w:rPr>
        <w:t>O společnosti Flextronics</w:t>
      </w:r>
      <w:r w:rsidRPr="00DF128A">
        <w:t>, 2006).</w:t>
      </w:r>
    </w:p>
    <w:p w:rsidR="00DF128A" w:rsidRPr="00DF128A" w:rsidRDefault="00DF128A" w:rsidP="00DF128A">
      <w:pPr>
        <w:pStyle w:val="Normlnweb"/>
        <w:widowControl w:val="0"/>
        <w:spacing w:before="0" w:beforeAutospacing="0" w:after="0" w:afterAutospacing="0" w:line="276" w:lineRule="auto"/>
        <w:ind w:firstLine="709"/>
        <w:jc w:val="both"/>
      </w:pPr>
      <w:r w:rsidRPr="00DF128A">
        <w:t>Flextronics International Ltd. se sídlem v Singapuru je předním světovým poskytovatelem elektronických výrobních v oblasti komunikací, sítí, počítačů, lékařských přístrojů a spotřebního zboží. Flextronics vyrábí technicky náročn</w:t>
      </w:r>
      <w:r w:rsidR="00244EC4">
        <w:t>é</w:t>
      </w:r>
      <w:r w:rsidRPr="00DF128A">
        <w:t xml:space="preserve"> produkt</w:t>
      </w:r>
      <w:r w:rsidR="00244EC4">
        <w:t>y</w:t>
      </w:r>
      <w:r w:rsidRPr="00DF128A">
        <w:t>, včetně mobilních telefonů, počítačů a lékařských přístrojů. Svoje výrobní kapacity poskytuje řadě společností, jako jsou Compaq, Cisco Systems, Ericsson, Hewlett-Packard, IBM, Nortel Networks, Lucent Technologies, Nokia, Philips Electronics a Sony. (</w:t>
      </w:r>
      <w:r w:rsidRPr="00DF128A">
        <w:rPr>
          <w:i/>
        </w:rPr>
        <w:t xml:space="preserve">O společnosti </w:t>
      </w:r>
      <w:r w:rsidRPr="00DF128A">
        <w:rPr>
          <w:i/>
        </w:rPr>
        <w:lastRenderedPageBreak/>
        <w:t>Flextronics</w:t>
      </w:r>
      <w:r w:rsidRPr="00DF128A">
        <w:t>, 2006).</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128A" w:rsidP="00DF128A">
      <w:pPr>
        <w:pStyle w:val="Normlnweb"/>
        <w:widowControl w:val="0"/>
        <w:spacing w:before="0" w:beforeAutospacing="0" w:after="0" w:afterAutospacing="0" w:line="276" w:lineRule="auto"/>
        <w:ind w:firstLine="709"/>
        <w:jc w:val="both"/>
      </w:pPr>
      <w:r w:rsidRPr="00DF128A">
        <w:t>Flextronics je celosvětová společnost v nízkonákladové výrobě. Jejich investice do výrobních zařízení v nízkonákladových regionech světa umožňují poskytovat služby zákazníkům za konkurenceschopné výrobní ceny. Většina výrobních kapacit je soustředěna do devíti průmyslových parků. Tímto rozmístěním Flextronics zvyšuje flexibilitu výroby a redukuje distribuční bariéry, dobu oběhu, a celkové přepravní a produkční náklady (</w:t>
      </w:r>
      <w:r w:rsidRPr="00B178C9">
        <w:t>O společnosti Flextronics</w:t>
      </w:r>
      <w:r w:rsidRPr="00DF128A">
        <w:t xml:space="preserve"> 2006).</w:t>
      </w:r>
    </w:p>
    <w:p w:rsidR="00DF128A" w:rsidRPr="00DF128A" w:rsidRDefault="00DF128A" w:rsidP="00DF128A">
      <w:pPr>
        <w:pStyle w:val="Normlnweb"/>
        <w:widowControl w:val="0"/>
        <w:spacing w:before="0" w:beforeAutospacing="0" w:after="0" w:afterAutospacing="0" w:line="276" w:lineRule="auto"/>
        <w:ind w:firstLine="709"/>
        <w:jc w:val="both"/>
        <w:rPr>
          <w:rStyle w:val="Normln1"/>
        </w:rPr>
      </w:pPr>
      <w:r w:rsidRPr="00DF128A">
        <w:t xml:space="preserve">Evropa: Gdaňsk, Polsko; </w:t>
      </w:r>
      <w:r w:rsidRPr="00DF128A">
        <w:rPr>
          <w:rStyle w:val="Normln1"/>
        </w:rPr>
        <w:t>Nyíregyháza, Maďarsko; Sárvár, Maďarsko.</w:t>
      </w:r>
    </w:p>
    <w:p w:rsidR="00DF128A" w:rsidRPr="00DF128A" w:rsidRDefault="00DF128A" w:rsidP="00DF128A">
      <w:pPr>
        <w:pStyle w:val="Normlnweb"/>
        <w:widowControl w:val="0"/>
        <w:spacing w:before="0" w:beforeAutospacing="0" w:after="0" w:afterAutospacing="0" w:line="276" w:lineRule="auto"/>
        <w:ind w:firstLine="709"/>
        <w:jc w:val="both"/>
      </w:pPr>
      <w:r w:rsidRPr="00DF128A">
        <w:t>Latinská Amerika: Guadalajara, Mexiko; Juarez, Mexiko; Sorocaba, Brazílie.</w:t>
      </w:r>
    </w:p>
    <w:p w:rsidR="00DF128A" w:rsidRPr="00DF128A" w:rsidRDefault="00DF128A" w:rsidP="00DF128A">
      <w:pPr>
        <w:pStyle w:val="Normlnweb"/>
        <w:widowControl w:val="0"/>
        <w:spacing w:before="0" w:beforeAutospacing="0" w:after="0" w:afterAutospacing="0" w:line="276" w:lineRule="auto"/>
        <w:ind w:firstLine="709"/>
        <w:jc w:val="both"/>
      </w:pPr>
      <w:r w:rsidRPr="00DF128A">
        <w:t>Asie: Chennai, Indie; Doumen, Čína; Shanghai, Čína.</w:t>
      </w:r>
    </w:p>
    <w:p w:rsidR="00B178C9" w:rsidRDefault="00B178C9" w:rsidP="00DF128A">
      <w:pPr>
        <w:pStyle w:val="Normlnweb"/>
        <w:widowControl w:val="0"/>
        <w:spacing w:before="0" w:beforeAutospacing="0" w:after="0" w:afterAutospacing="0" w:line="276" w:lineRule="auto"/>
        <w:ind w:firstLine="709"/>
        <w:jc w:val="both"/>
      </w:pPr>
    </w:p>
    <w:p w:rsidR="00DF128A" w:rsidRPr="00DF128A" w:rsidRDefault="00DF128A" w:rsidP="00DF128A">
      <w:pPr>
        <w:pStyle w:val="Normlnweb"/>
        <w:widowControl w:val="0"/>
        <w:spacing w:before="0" w:beforeAutospacing="0" w:after="0" w:afterAutospacing="0" w:line="276" w:lineRule="auto"/>
        <w:ind w:firstLine="709"/>
        <w:jc w:val="both"/>
      </w:pPr>
      <w:r w:rsidRPr="00DF128A">
        <w:t>V dalších zemích, zvláště Evropy a Severní Ameriky soustřeďuje Flextronics svá vývojová centra a další pracoviště s vyššími nároky na pracovní sílu (</w:t>
      </w:r>
      <w:r w:rsidRPr="00B178C9">
        <w:t>Industrial parks</w:t>
      </w:r>
      <w:r w:rsidRPr="00DF128A">
        <w:t xml:space="preserve"> 2006).</w:t>
      </w:r>
    </w:p>
    <w:p w:rsidR="00DF128A" w:rsidRPr="00DF128A" w:rsidRDefault="00DF128A" w:rsidP="00B00A16">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noProof/>
          <w:sz w:val="24"/>
          <w:szCs w:val="24"/>
          <w:lang w:eastAsia="cs-CZ"/>
        </w:rPr>
        <w:drawing>
          <wp:inline distT="0" distB="0" distL="0" distR="0" wp14:anchorId="1A969904" wp14:editId="1E78FABC">
            <wp:extent cx="4467225" cy="2590800"/>
            <wp:effectExtent l="0" t="0" r="9525"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67225" cy="2590800"/>
                    </a:xfrm>
                    <a:prstGeom prst="rect">
                      <a:avLst/>
                    </a:prstGeom>
                    <a:noFill/>
                    <a:ln>
                      <a:noFill/>
                    </a:ln>
                  </pic:spPr>
                </pic:pic>
              </a:graphicData>
            </a:graphic>
          </wp:inline>
        </w:drawing>
      </w:r>
    </w:p>
    <w:p w:rsidR="00DF128A" w:rsidRPr="00DF128A" w:rsidRDefault="00DF128A" w:rsidP="00B00A16">
      <w:pPr>
        <w:pStyle w:val="Normlnweb"/>
        <w:widowControl w:val="0"/>
        <w:spacing w:before="0" w:beforeAutospacing="0" w:after="0" w:afterAutospacing="0" w:line="276" w:lineRule="auto"/>
        <w:jc w:val="both"/>
      </w:pPr>
      <w:r w:rsidRPr="00DF128A">
        <w:t>Obr. 1. Graf zastoupení Low Cost a High Cost produkce Flextronics v regionech</w:t>
      </w:r>
    </w:p>
    <w:p w:rsidR="00B00A16" w:rsidRPr="00B00A16" w:rsidRDefault="0089489F" w:rsidP="00B038A1">
      <w:pPr>
        <w:pStyle w:val="Nadpis1"/>
      </w:pPr>
      <w:bookmarkStart w:id="13" w:name="_Toc301255431"/>
      <w:bookmarkStart w:id="14" w:name="_Toc331023958"/>
      <w:r>
        <w:rPr>
          <w:iCs/>
        </w:rPr>
        <w:t xml:space="preserve">Zdroj: </w:t>
      </w:r>
      <w:r w:rsidR="00B00A16" w:rsidRPr="00B00A16">
        <w:rPr>
          <w:iCs/>
        </w:rPr>
        <w:t>Global locations.</w:t>
      </w:r>
      <w:r w:rsidR="00B00A16">
        <w:t xml:space="preserve"> </w:t>
      </w:r>
      <w:r w:rsidR="00B00A16" w:rsidRPr="00B00A16">
        <w:t>Flextronics Internationa, 2006</w:t>
      </w:r>
      <w:r w:rsidR="00B178C9">
        <w:t>.</w:t>
      </w:r>
      <w:bookmarkEnd w:id="13"/>
      <w:bookmarkEnd w:id="14"/>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128A" w:rsidP="00B00A16">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Řízení výroby</w:t>
      </w:r>
    </w:p>
    <w:p w:rsidR="00DF128A" w:rsidRPr="00DF128A" w:rsidRDefault="00DF128A" w:rsidP="00DF128A">
      <w:pPr>
        <w:pStyle w:val="Normlnweb"/>
        <w:widowControl w:val="0"/>
        <w:spacing w:before="0" w:beforeAutospacing="0" w:after="0" w:afterAutospacing="0" w:line="276" w:lineRule="auto"/>
        <w:ind w:firstLine="709"/>
        <w:jc w:val="both"/>
      </w:pPr>
      <w:r w:rsidRPr="00DF128A">
        <w:t>Neustálé rozšiřování globální sítě výrobních zařízení a zvýšená potřebu systémů, které zajistí jednotné procesy v každém závodě po celém světě vedly společnost Flextronics k hledání nového softwarového řešení, které by bylo schopné řídit velmi složité procesy výroby komplikovaných elektronických komponent.</w:t>
      </w:r>
    </w:p>
    <w:p w:rsidR="00DF128A" w:rsidRPr="00DF128A" w:rsidRDefault="00DF128A" w:rsidP="00DF128A">
      <w:pPr>
        <w:pStyle w:val="Normlnweb"/>
        <w:widowControl w:val="0"/>
        <w:spacing w:before="0" w:beforeAutospacing="0" w:after="0" w:afterAutospacing="0" w:line="276" w:lineRule="auto"/>
        <w:ind w:firstLine="709"/>
        <w:jc w:val="both"/>
      </w:pPr>
      <w:r w:rsidRPr="00DF128A">
        <w:t>Flextronics zvolil Advantage, systém pro výrobní spolupráci v reálném čase od firmy Datasweep, což je Microsoft Certified Solution Provider se sídlem v Kalifornii. Systém Advantage je postaven kolem platformy Windows DNA for Manufacturing a představuje nejnovější technologii výrobní automatizace využívající internet.</w:t>
      </w:r>
    </w:p>
    <w:p w:rsidR="00DF128A" w:rsidRPr="00DF128A" w:rsidRDefault="00DF128A" w:rsidP="00DF128A">
      <w:pPr>
        <w:pStyle w:val="Normlnweb"/>
        <w:widowControl w:val="0"/>
        <w:spacing w:before="0" w:beforeAutospacing="0" w:after="0" w:afterAutospacing="0" w:line="276" w:lineRule="auto"/>
        <w:ind w:firstLine="709"/>
        <w:jc w:val="both"/>
      </w:pPr>
      <w:r w:rsidRPr="00DF128A">
        <w:t>Datasweep Advantage je webové řešení umožňující společnosti Flextronics sdílení informací v celém podniku. Pomáhá také zvýšit výrobu, její přehlednost, pružnost a kvalitu. Datasweep poskytuje potřebné nástroje ke sledování, co se děje v jednotlivých výrobních provozech a ke spolupráci všech účastníků zásobovacího řetězce.</w:t>
      </w:r>
      <w:r w:rsidRPr="00DF128A">
        <w:br/>
        <w:t xml:space="preserve">Pomocí systému Advantage je společnost schopna řídit všechny úrovně výroby, od desek </w:t>
      </w:r>
      <w:r w:rsidRPr="00DF128A">
        <w:lastRenderedPageBreak/>
        <w:t>plošných spojů až ke konečnému zabalení hotového výrobku. (</w:t>
      </w:r>
      <w:r w:rsidRPr="00B178C9">
        <w:t xml:space="preserve">Microsoft Případové studie: Flextronics International, Ltd. </w:t>
      </w:r>
      <w:r w:rsidRPr="00DF128A">
        <w:t>2003).</w:t>
      </w:r>
    </w:p>
    <w:p w:rsidR="00DF128A" w:rsidRPr="00DF128A" w:rsidRDefault="00DF128A" w:rsidP="00DF128A">
      <w:pPr>
        <w:pStyle w:val="Normlnweb"/>
        <w:widowControl w:val="0"/>
        <w:spacing w:before="0" w:beforeAutospacing="0" w:after="0" w:afterAutospacing="0" w:line="276" w:lineRule="auto"/>
        <w:ind w:firstLine="709"/>
        <w:jc w:val="both"/>
      </w:pPr>
      <w:r w:rsidRPr="00DF128A">
        <w:t>Díky tomuto řízení výroby může vedení společnosti Flextronics centrálně řídit výrobu a chod společnosti vůbec z jednoho místa, respektive z libovolného místa na světě s připojením na internet. Tento systém centrálního řízení umožňuje Flextronicsu vyrábět a působit globálně na celém světě.</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B00A16">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Privatizace a transformace podniku TESLA Brno</w:t>
      </w:r>
    </w:p>
    <w:p w:rsidR="00DF128A" w:rsidRPr="00DF128A" w:rsidRDefault="00DF128A" w:rsidP="00DF128A">
      <w:pPr>
        <w:pStyle w:val="Normlnweb"/>
        <w:widowControl w:val="0"/>
        <w:spacing w:before="0" w:beforeAutospacing="0" w:after="0" w:afterAutospacing="0" w:line="276" w:lineRule="auto"/>
        <w:ind w:firstLine="709"/>
        <w:jc w:val="both"/>
      </w:pPr>
      <w:r w:rsidRPr="00DF128A">
        <w:t>Bývalý státní podnik TESLA Brno na Purkyňově ulici byl postaven v 60. letech minulého století, tehdy se zde vyráběly elektronové mikroskopy a různé měřicí přístroje. Tesla Brno, s.p. byla privatizována v roce 1992. Tradice vývoje a výroby měřicích přístrojů pokrač</w:t>
      </w:r>
      <w:r w:rsidR="00B178C9">
        <w:t>ovala</w:t>
      </w:r>
      <w:r w:rsidRPr="00DF128A">
        <w:t xml:space="preserve"> i s novým majitelem – firmou UTES ELEKTRONIKA, a.s. Vznik</w:t>
      </w:r>
      <w:r w:rsidR="00B178C9">
        <w:t>la</w:t>
      </w:r>
      <w:r w:rsidRPr="00DF128A">
        <w:t xml:space="preserve"> celá řada nových přístrojů vyvinutých a vyráběných pro Grundig. V roce 1999 Grundig ukončil své aktivity v oblasti měřicích přístrojů. Tím </w:t>
      </w:r>
      <w:r w:rsidR="00B178C9">
        <w:t>s</w:t>
      </w:r>
      <w:r w:rsidRPr="00DF128A">
        <w:t>konč</w:t>
      </w:r>
      <w:r w:rsidR="00B178C9">
        <w:t>ila</w:t>
      </w:r>
      <w:r w:rsidRPr="00DF128A">
        <w:t xml:space="preserve"> výroba přístrojů digimess v Brně. Pod uvedenou obchodní značkou je však možné je stále na trhu nalézt. Akvizice UTESu firmou Dovatron v roce 1998 znamená velkou změnu v kvalitě a kvantitě poskytovaných služeb EMS</w:t>
      </w:r>
      <w:r w:rsidR="00B178C9">
        <w:t xml:space="preserve">. Nový vlastník zvýšil </w:t>
      </w:r>
      <w:r w:rsidRPr="00DF128A">
        <w:t>příliv investic do nových technologií pro osazování desek plošných spojů součástkami pro povrchovou montáž. Celková kapacita osazovacích strojů dos</w:t>
      </w:r>
      <w:r w:rsidR="00B178C9">
        <w:t>áhla</w:t>
      </w:r>
      <w:r w:rsidRPr="00DF128A">
        <w:t xml:space="preserve"> 1 milion čipů za hodinu. Dovatron byl součástí korporace DII Group (DIIG). DII Group byla </w:t>
      </w:r>
      <w:r w:rsidR="00B178C9">
        <w:t>v té době</w:t>
      </w:r>
      <w:r w:rsidRPr="00DF128A">
        <w:t xml:space="preserve"> sedmým největším kontraktačním výrobcem elektroniky a v podstatě jeho největší část byl Dovatron, který působil jako typický výrobce elektroniky. Do korporace patřily však i jiné společnosti, např. Multek, který byl největším výrobcem plošných spojů na světě, a dále různé organizace zaměřené na vývoj. (</w:t>
      </w:r>
      <w:r w:rsidR="00B178C9">
        <w:t>Beneš</w:t>
      </w:r>
      <w:r w:rsidRPr="00DF128A">
        <w:t xml:space="preserve"> 2004)</w:t>
      </w:r>
    </w:p>
    <w:p w:rsidR="00DF128A" w:rsidRPr="00DF128A" w:rsidRDefault="00DF128A" w:rsidP="00DF128A">
      <w:pPr>
        <w:pStyle w:val="Normlnweb"/>
        <w:widowControl w:val="0"/>
        <w:spacing w:before="0" w:beforeAutospacing="0" w:after="0" w:afterAutospacing="0" w:line="276" w:lineRule="auto"/>
        <w:ind w:firstLine="709"/>
        <w:jc w:val="both"/>
      </w:pPr>
    </w:p>
    <w:p w:rsidR="00DF128A" w:rsidRPr="00DF128A" w:rsidRDefault="00DF128A" w:rsidP="00DF45D0">
      <w:pPr>
        <w:pStyle w:val="Normlnweb"/>
        <w:widowControl w:val="0"/>
        <w:spacing w:before="0" w:beforeAutospacing="0" w:after="0" w:afterAutospacing="0" w:line="276" w:lineRule="auto"/>
        <w:jc w:val="both"/>
      </w:pPr>
      <w:r w:rsidRPr="00DF128A">
        <w:rPr>
          <w:noProof/>
        </w:rPr>
        <w:drawing>
          <wp:inline distT="0" distB="0" distL="0" distR="0" wp14:anchorId="2237AE54" wp14:editId="4D27908D">
            <wp:extent cx="5581650" cy="1314450"/>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81650" cy="1314450"/>
                    </a:xfrm>
                    <a:prstGeom prst="rect">
                      <a:avLst/>
                    </a:prstGeom>
                    <a:noFill/>
                    <a:ln>
                      <a:noFill/>
                    </a:ln>
                  </pic:spPr>
                </pic:pic>
              </a:graphicData>
            </a:graphic>
          </wp:inline>
        </w:drawing>
      </w:r>
    </w:p>
    <w:p w:rsidR="00DF128A" w:rsidRPr="00DF128A" w:rsidRDefault="00DF128A" w:rsidP="00DF45D0">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Obr. 2. Schéma transformace Tesla Brno, s. p. na Flextronics Design, s. r. o.</w:t>
      </w:r>
    </w:p>
    <w:p w:rsidR="00DF45D0" w:rsidRPr="00DF45D0" w:rsidRDefault="00DF45D0" w:rsidP="00DF45D0">
      <w:pPr>
        <w:pStyle w:val="Normlnweb"/>
        <w:widowControl w:val="0"/>
        <w:spacing w:before="0" w:beforeAutospacing="0" w:after="0" w:afterAutospacing="0" w:line="276" w:lineRule="auto"/>
        <w:jc w:val="both"/>
        <w:rPr>
          <w:sz w:val="20"/>
          <w:szCs w:val="20"/>
        </w:rPr>
      </w:pPr>
      <w:r w:rsidRPr="00DF45D0">
        <w:rPr>
          <w:i/>
          <w:sz w:val="20"/>
          <w:szCs w:val="20"/>
        </w:rPr>
        <w:t xml:space="preserve">Historie Flextronics Design, s.r.o. </w:t>
      </w:r>
      <w:r w:rsidRPr="00DF45D0">
        <w:rPr>
          <w:sz w:val="20"/>
          <w:szCs w:val="20"/>
        </w:rPr>
        <w:t>Flextronics International, 2006.</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128A" w:rsidP="00DF45D0">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Příchod společnosti Flextronics</w:t>
      </w:r>
    </w:p>
    <w:p w:rsidR="00DF128A" w:rsidRPr="00DF128A" w:rsidRDefault="00B178C9" w:rsidP="00DF128A">
      <w:pPr>
        <w:widowControl w:val="0"/>
        <w:spacing w:line="276" w:lineRule="auto"/>
        <w:ind w:firstLine="709"/>
        <w:jc w:val="both"/>
        <w:rPr>
          <w:rFonts w:ascii="Times New Roman" w:hAnsi="Times New Roman" w:cs="Times New Roman"/>
          <w:sz w:val="24"/>
          <w:szCs w:val="24"/>
        </w:rPr>
      </w:pPr>
      <w:r>
        <w:rPr>
          <w:rFonts w:ascii="Times New Roman" w:hAnsi="Times New Roman" w:cs="Times New Roman"/>
          <w:sz w:val="24"/>
          <w:szCs w:val="24"/>
        </w:rPr>
        <w:t>K</w:t>
      </w:r>
      <w:r w:rsidR="00DF128A" w:rsidRPr="00DF128A">
        <w:rPr>
          <w:rFonts w:ascii="Times New Roman" w:hAnsi="Times New Roman" w:cs="Times New Roman"/>
          <w:sz w:val="24"/>
          <w:szCs w:val="24"/>
        </w:rPr>
        <w:t>orporace</w:t>
      </w:r>
      <w:r>
        <w:rPr>
          <w:rFonts w:ascii="Times New Roman" w:hAnsi="Times New Roman" w:cs="Times New Roman"/>
          <w:sz w:val="24"/>
          <w:szCs w:val="24"/>
        </w:rPr>
        <w:t xml:space="preserve"> </w:t>
      </w:r>
      <w:r w:rsidRPr="00B178C9">
        <w:rPr>
          <w:rFonts w:ascii="Times New Roman" w:hAnsi="Times New Roman" w:cs="Times New Roman"/>
          <w:sz w:val="24"/>
          <w:szCs w:val="24"/>
        </w:rPr>
        <w:t>DII Group</w:t>
      </w:r>
      <w:r w:rsidR="00DF128A" w:rsidRPr="00DF128A">
        <w:rPr>
          <w:rFonts w:ascii="Times New Roman" w:hAnsi="Times New Roman" w:cs="Times New Roman"/>
          <w:sz w:val="24"/>
          <w:szCs w:val="24"/>
        </w:rPr>
        <w:t xml:space="preserve"> byla velice zajímavá a velice dynamická, proto se o ní Flextronics začal zajímat a po dlouhém jednání došlo k rozhodnutí o fúzi těchto dvou společností. Byly zde zřejmé výhody pro obě strany. Obě společnosti se vzájemně dobře doplňovaly, pokud se týkalo působení na světovém trhu. Např. Flextronics měl velké zastoupení v Evropě – v Německu, Maďarsku, Skotsku a ve skandinávských zemích. Dovatron byl naopak</w:t>
      </w:r>
      <w:r>
        <w:rPr>
          <w:rFonts w:ascii="Times New Roman" w:hAnsi="Times New Roman" w:cs="Times New Roman"/>
          <w:sz w:val="24"/>
          <w:szCs w:val="24"/>
        </w:rPr>
        <w:t xml:space="preserve"> zastoupen např.</w:t>
      </w:r>
      <w:r w:rsidR="00DF128A" w:rsidRPr="00DF128A">
        <w:rPr>
          <w:rFonts w:ascii="Times New Roman" w:hAnsi="Times New Roman" w:cs="Times New Roman"/>
          <w:sz w:val="24"/>
          <w:szCs w:val="24"/>
        </w:rPr>
        <w:t xml:space="preserve"> v Irsku a v ČR. V Americe to bylo velmi podobné, v Číně a v Mexiku působily obě společnosti. Stěžejní pro Flextronics bylo, že Dovatron vlastnil Multek, který nadále působil pod původním názvem v rámci Flextronics jako velký výrobce plošných spojů s kompetencí v oblasti 8 až 32vrstvých desek plošných spojů, tzn. skutečný </w:t>
      </w:r>
      <w:r w:rsidR="00DF128A" w:rsidRPr="00DF128A">
        <w:rPr>
          <w:rFonts w:ascii="Times New Roman" w:hAnsi="Times New Roman" w:cs="Times New Roman"/>
          <w:sz w:val="24"/>
          <w:szCs w:val="24"/>
        </w:rPr>
        <w:lastRenderedPageBreak/>
        <w:t>výrobce high-tech</w:t>
      </w:r>
      <w:r w:rsidR="00C939A6">
        <w:rPr>
          <w:rFonts w:ascii="Times New Roman" w:hAnsi="Times New Roman" w:cs="Times New Roman"/>
          <w:sz w:val="24"/>
          <w:szCs w:val="24"/>
        </w:rPr>
        <w:t xml:space="preserve"> produktů</w:t>
      </w:r>
      <w:r w:rsidR="00DF128A" w:rsidRPr="00DF128A">
        <w:rPr>
          <w:rFonts w:ascii="Times New Roman" w:hAnsi="Times New Roman" w:cs="Times New Roman"/>
          <w:sz w:val="24"/>
          <w:szCs w:val="24"/>
        </w:rPr>
        <w:t xml:space="preserve"> (</w:t>
      </w:r>
      <w:r w:rsidR="00DF128A" w:rsidRPr="00C939A6">
        <w:rPr>
          <w:rFonts w:ascii="Times New Roman" w:hAnsi="Times New Roman" w:cs="Times New Roman"/>
          <w:sz w:val="24"/>
          <w:szCs w:val="24"/>
        </w:rPr>
        <w:t xml:space="preserve">Historie Flextronics Design, s.r.o. </w:t>
      </w:r>
      <w:r w:rsidR="00DF128A" w:rsidRPr="00DF128A">
        <w:rPr>
          <w:rFonts w:ascii="Times New Roman" w:hAnsi="Times New Roman" w:cs="Times New Roman"/>
          <w:sz w:val="24"/>
          <w:szCs w:val="24"/>
        </w:rPr>
        <w:t>2006).</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K fúzi došlo v dubnu </w:t>
      </w:r>
      <w:smartTag w:uri="urn:schemas-microsoft-com:office:smarttags" w:element="metricconverter">
        <w:smartTagPr>
          <w:attr w:name="ProductID" w:val="2000 a"/>
        </w:smartTagPr>
        <w:r w:rsidRPr="00DF128A">
          <w:rPr>
            <w:rFonts w:ascii="Times New Roman" w:hAnsi="Times New Roman" w:cs="Times New Roman"/>
            <w:sz w:val="24"/>
            <w:szCs w:val="24"/>
          </w:rPr>
          <w:t>2000 a</w:t>
        </w:r>
      </w:smartTag>
      <w:r w:rsidRPr="00DF128A">
        <w:rPr>
          <w:rFonts w:ascii="Times New Roman" w:hAnsi="Times New Roman" w:cs="Times New Roman"/>
          <w:sz w:val="24"/>
          <w:szCs w:val="24"/>
        </w:rPr>
        <w:t xml:space="preserve"> v rámci ní se české výrobní provozy Dovatronu staly součástí skupiny Flextronics. V tomto závodě měl Flextronics v té době šest linek SMT. Ihned začal s výrobou satelitních příjmačů Pace a modemů Alcatel, které později na Černovické terase vyráběl. Expanze pokračovala dál a vzhledem k tomu, že brněnské prostředí bylo velmi vhodné na další investice, začal Flextronics zvažovat, zda by se v Brně nedal postavit průmyslový park. (B</w:t>
      </w:r>
      <w:r w:rsidR="00C939A6">
        <w:rPr>
          <w:rFonts w:ascii="Times New Roman" w:hAnsi="Times New Roman" w:cs="Times New Roman"/>
          <w:sz w:val="24"/>
          <w:szCs w:val="24"/>
        </w:rPr>
        <w:t xml:space="preserve">eneš </w:t>
      </w:r>
      <w:r w:rsidRPr="00DF128A">
        <w:rPr>
          <w:rFonts w:ascii="Times New Roman" w:hAnsi="Times New Roman" w:cs="Times New Roman"/>
          <w:sz w:val="24"/>
          <w:szCs w:val="24"/>
        </w:rPr>
        <w:t>2004).</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128A" w:rsidP="00DF45D0">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Investice na Černovické terase</w:t>
      </w:r>
    </w:p>
    <w:p w:rsidR="00DF128A" w:rsidRPr="00DF128A" w:rsidRDefault="00DF128A" w:rsidP="00DF128A">
      <w:pPr>
        <w:pStyle w:val="Normlnweb"/>
        <w:widowControl w:val="0"/>
        <w:spacing w:before="0" w:beforeAutospacing="0" w:after="0" w:afterAutospacing="0" w:line="276" w:lineRule="auto"/>
        <w:ind w:firstLine="709"/>
        <w:jc w:val="both"/>
      </w:pPr>
      <w:r w:rsidRPr="00DF128A">
        <w:t xml:space="preserve">V podstatě během tří měsíců se podařilo dosáhnout dohody s Magistrátem města Brna na podporu této investice. Dohodli se, že Flextronics realizuje stavbu "na zelené louce" na tzv. Černovické terase. Pro průmyslový park Flextronics byla vyhrazena 50 hektarová plocha, kde mělo během pěti let vyrůst několik závodů. 30. června 2000 se společnost Flextronics rozhodla investovat zhruba 20 miliónů </w:t>
      </w:r>
      <w:r w:rsidR="00C939A6">
        <w:t>amerických dolarů (</w:t>
      </w:r>
      <w:r w:rsidRPr="00DF128A">
        <w:t>USD</w:t>
      </w:r>
      <w:r w:rsidR="00C939A6">
        <w:t>)</w:t>
      </w:r>
      <w:r w:rsidRPr="00DF128A">
        <w:t xml:space="preserve"> do výstavby a 40 miliónů USD do strojního a technologického vybavení do první fáze průmyslového parku Černovická terasa v Brně. Firma se zavázala vytvořit do roku 2005 nejméně 3000 pracovních míst a udržet je nejméně 5 let. Ve stejné době propouštěli největší zaměstnav</w:t>
      </w:r>
      <w:r w:rsidR="00C939A6">
        <w:t>atelé dělnických profesí v Brně:</w:t>
      </w:r>
      <w:r w:rsidRPr="00DF128A">
        <w:t xml:space="preserve"> Zetor a Královopolská strojírna. Za to získala společnost Flextronics zvýhodněný nájem pozemků o výměře </w:t>
      </w:r>
      <w:smartTag w:uri="urn:schemas-microsoft-com:office:smarttags" w:element="metricconverter">
        <w:smartTagPr>
          <w:attr w:name="ProductID" w:val="65 hektarů"/>
        </w:smartTagPr>
        <w:r w:rsidRPr="00DF128A">
          <w:t>65 hektarů</w:t>
        </w:r>
      </w:smartTag>
      <w:r w:rsidRPr="00DF128A">
        <w:t xml:space="preserve"> a následně je koupila za jednu korunu. 17. července 2000 povolil Úřad pro ochranu hospodářské soutěže městu Brnu výjimku ze zákazu veřejné podpory v souvislosti s touto investicí. </w:t>
      </w:r>
      <w:r w:rsidRPr="00DF128A">
        <w:rPr>
          <w:bCs/>
        </w:rPr>
        <w:t>Flextronics</w:t>
      </w:r>
      <w:r w:rsidRPr="00DF128A">
        <w:t xml:space="preserve"> jako zahraniční investor získal od vlády spoustu pobídek, a to včetně 100% úlevy na daních po dobu 10 let. (</w:t>
      </w:r>
      <w:r w:rsidR="00C939A6">
        <w:t xml:space="preserve">Plischke </w:t>
      </w:r>
      <w:r w:rsidRPr="00DF128A">
        <w:t>2006)</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Výstavbu první haly o rozloze </w:t>
      </w:r>
      <w:smartTag w:uri="urn:schemas-microsoft-com:office:smarttags" w:element="metricconverter">
        <w:smartTagPr>
          <w:attr w:name="ProductID" w:val="17 600 metrů čtverečních"/>
        </w:smartTagPr>
        <w:smartTag w:uri="urn:schemas-microsoft-com:office:smarttags" w:element="metricconverter">
          <w:smartTagPr>
            <w:attr w:name="ProductID" w:val="17 600 metrů"/>
          </w:smartTagPr>
          <w:r w:rsidRPr="00DF128A">
            <w:rPr>
              <w:rFonts w:ascii="Times New Roman" w:hAnsi="Times New Roman" w:cs="Times New Roman"/>
              <w:sz w:val="24"/>
              <w:szCs w:val="24"/>
            </w:rPr>
            <w:t>17 600 metrů</w:t>
          </w:r>
        </w:smartTag>
        <w:r w:rsidRPr="00DF128A">
          <w:rPr>
            <w:rFonts w:ascii="Times New Roman" w:hAnsi="Times New Roman" w:cs="Times New Roman"/>
            <w:sz w:val="24"/>
            <w:szCs w:val="24"/>
          </w:rPr>
          <w:t xml:space="preserve"> čtverečních</w:t>
        </w:r>
      </w:smartTag>
      <w:r w:rsidRPr="00DF128A">
        <w:rPr>
          <w:rFonts w:ascii="Times New Roman" w:hAnsi="Times New Roman" w:cs="Times New Roman"/>
          <w:sz w:val="24"/>
          <w:szCs w:val="24"/>
        </w:rPr>
        <w:t xml:space="preserve"> zahájil Flextronics International Ltd. 28. července 2000.  </w:t>
      </w:r>
      <w:r w:rsidR="00C939A6">
        <w:rPr>
          <w:rFonts w:ascii="Times New Roman" w:hAnsi="Times New Roman" w:cs="Times New Roman"/>
          <w:sz w:val="24"/>
          <w:szCs w:val="24"/>
        </w:rPr>
        <w:t>Výrobní h</w:t>
      </w:r>
      <w:r w:rsidRPr="00DF128A">
        <w:rPr>
          <w:rStyle w:val="text11"/>
          <w:rFonts w:ascii="Times New Roman" w:hAnsi="Times New Roman" w:cs="Times New Roman"/>
          <w:sz w:val="24"/>
          <w:szCs w:val="24"/>
        </w:rPr>
        <w:t xml:space="preserve">ala </w:t>
      </w:r>
      <w:r w:rsidR="00C939A6">
        <w:rPr>
          <w:rStyle w:val="text11"/>
          <w:rFonts w:ascii="Times New Roman" w:hAnsi="Times New Roman" w:cs="Times New Roman"/>
          <w:sz w:val="24"/>
          <w:szCs w:val="24"/>
        </w:rPr>
        <w:t>byla uvedena do provozu</w:t>
      </w:r>
      <w:r w:rsidRPr="00DF128A">
        <w:rPr>
          <w:rStyle w:val="text11"/>
          <w:rFonts w:ascii="Times New Roman" w:hAnsi="Times New Roman" w:cs="Times New Roman"/>
          <w:sz w:val="24"/>
          <w:szCs w:val="24"/>
        </w:rPr>
        <w:t xml:space="preserve"> 3. </w:t>
      </w:r>
      <w:r w:rsidR="00C939A6">
        <w:rPr>
          <w:rStyle w:val="text11"/>
          <w:rFonts w:ascii="Times New Roman" w:hAnsi="Times New Roman" w:cs="Times New Roman"/>
          <w:sz w:val="24"/>
          <w:szCs w:val="24"/>
        </w:rPr>
        <w:t>l</w:t>
      </w:r>
      <w:r w:rsidRPr="00DF128A">
        <w:rPr>
          <w:rStyle w:val="text11"/>
          <w:rFonts w:ascii="Times New Roman" w:hAnsi="Times New Roman" w:cs="Times New Roman"/>
          <w:sz w:val="24"/>
          <w:szCs w:val="24"/>
        </w:rPr>
        <w:t>istopadu</w:t>
      </w:r>
      <w:r w:rsidR="00C939A6">
        <w:rPr>
          <w:rStyle w:val="text11"/>
          <w:rFonts w:ascii="Times New Roman" w:hAnsi="Times New Roman" w:cs="Times New Roman"/>
          <w:sz w:val="24"/>
          <w:szCs w:val="24"/>
        </w:rPr>
        <w:t>, kdy</w:t>
      </w:r>
      <w:r w:rsidRPr="00DF128A">
        <w:rPr>
          <w:rStyle w:val="text11"/>
          <w:rFonts w:ascii="Times New Roman" w:hAnsi="Times New Roman" w:cs="Times New Roman"/>
          <w:sz w:val="24"/>
          <w:szCs w:val="24"/>
        </w:rPr>
        <w:t xml:space="preserve"> se rozjely první výrobní linky. </w:t>
      </w:r>
      <w:r w:rsidRPr="00DF128A">
        <w:rPr>
          <w:rFonts w:ascii="Times New Roman" w:hAnsi="Times New Roman" w:cs="Times New Roman"/>
          <w:sz w:val="24"/>
          <w:szCs w:val="24"/>
        </w:rPr>
        <w:t xml:space="preserve">3. listopadu 2000 Flextronics zaměstnával v prvním závodě nově budovaného průmyslového parku tisícovku zaměstnanců. Původní objekt v Purkyňově ulici Flextronics opustil. </w:t>
      </w:r>
      <w:r w:rsidRPr="00DF128A">
        <w:rPr>
          <w:rStyle w:val="text11"/>
          <w:rFonts w:ascii="Times New Roman" w:hAnsi="Times New Roman" w:cs="Times New Roman"/>
          <w:sz w:val="24"/>
          <w:szCs w:val="24"/>
        </w:rPr>
        <w:t>Během pouhého roku pak brněnský Flextronics zaměstnával 2700 lidí, jeho obrat v roce 2001 přesáhl 12,9 miliardy korun a dosáhl zisku 120 milionů.</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12. ledna 2001 firma získala povolení na stavbu další výrobní haly. Plánovala další budovy pro kovovýrobu</w:t>
      </w:r>
      <w:r w:rsidR="00C939A6">
        <w:rPr>
          <w:rFonts w:ascii="Times New Roman" w:hAnsi="Times New Roman" w:cs="Times New Roman"/>
          <w:sz w:val="24"/>
          <w:szCs w:val="24"/>
        </w:rPr>
        <w:t xml:space="preserve"> a</w:t>
      </w:r>
      <w:r w:rsidRPr="00DF128A">
        <w:rPr>
          <w:rFonts w:ascii="Times New Roman" w:hAnsi="Times New Roman" w:cs="Times New Roman"/>
          <w:sz w:val="24"/>
          <w:szCs w:val="24"/>
        </w:rPr>
        <w:t xml:space="preserve"> pro plasty. Měl </w:t>
      </w:r>
      <w:r w:rsidR="00C939A6">
        <w:rPr>
          <w:rFonts w:ascii="Times New Roman" w:hAnsi="Times New Roman" w:cs="Times New Roman"/>
          <w:sz w:val="24"/>
          <w:szCs w:val="24"/>
        </w:rPr>
        <w:t>zde</w:t>
      </w:r>
      <w:r w:rsidRPr="00DF128A">
        <w:rPr>
          <w:rFonts w:ascii="Times New Roman" w:hAnsi="Times New Roman" w:cs="Times New Roman"/>
          <w:sz w:val="24"/>
          <w:szCs w:val="24"/>
        </w:rPr>
        <w:t xml:space="preserve"> být objekt na balení zboží, expedice, případně tiskárna specializovaná na tisk na zakázku (print-on-demand), tj. příruček, návodů apod, V úvahu připadala i budova logistiky. Flextronics měl přislíbeno od města, že by v blízké době bylo vybudováno přímé napojení na dálnici. Nedaleko se nachází nádraží, které je výhodné pro kovovýrobu a likvidaci odpadů a Flextronics uvažoval o zavlečkování areálu. (</w:t>
      </w:r>
      <w:r w:rsidR="00C939A6">
        <w:rPr>
          <w:rFonts w:ascii="Times New Roman" w:hAnsi="Times New Roman" w:cs="Times New Roman"/>
          <w:sz w:val="24"/>
          <w:szCs w:val="24"/>
        </w:rPr>
        <w:t>Mareš</w:t>
      </w:r>
      <w:r w:rsidRPr="00DF128A">
        <w:rPr>
          <w:rFonts w:ascii="Times New Roman" w:hAnsi="Times New Roman" w:cs="Times New Roman"/>
          <w:sz w:val="24"/>
          <w:szCs w:val="24"/>
        </w:rPr>
        <w:t xml:space="preserve"> 2002).</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Flextronics také spolupracoval s brněnským Vysokým učením technickým: ročně nabízel pěti až deseti studentům stipendia, ti pak byli ve Flextronicsu na praxi, psali zde diplomovou práci a očekávalo se, že by po ukončení školy ve Flextronicsu pracovali. Flextronics pomáhal VÚT Brno vybavit laboratoř, a sponzoroval některé akce, které vysoké školy pořádaly. Pomáhal jim také s výukou: sponzoroval vydání nových skript, kde dával nahlédnout do svého strojního vybavení a umožňoval využít příkladů ze svého provozu. Dohodli se také, že část praktické výuky probíhala přímo v jejich závodě na jejich strojích. (</w:t>
      </w:r>
      <w:r w:rsidR="00C939A6">
        <w:rPr>
          <w:rFonts w:ascii="Times New Roman" w:hAnsi="Times New Roman" w:cs="Times New Roman"/>
          <w:sz w:val="24"/>
          <w:szCs w:val="24"/>
        </w:rPr>
        <w:t>Beneš</w:t>
      </w:r>
      <w:r w:rsidRPr="00DF128A">
        <w:rPr>
          <w:rFonts w:ascii="Times New Roman" w:hAnsi="Times New Roman" w:cs="Times New Roman"/>
          <w:sz w:val="24"/>
          <w:szCs w:val="24"/>
        </w:rPr>
        <w:t xml:space="preserve"> 2004).</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128A" w:rsidP="00DF45D0">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lastRenderedPageBreak/>
        <w:t>Problémy a odchod Flextronicsu z Černovické terasy</w:t>
      </w:r>
    </w:p>
    <w:p w:rsidR="007C7831" w:rsidRDefault="00DF128A" w:rsidP="00DF128A">
      <w:pPr>
        <w:pStyle w:val="Normlnweb"/>
        <w:widowControl w:val="0"/>
        <w:spacing w:before="0" w:beforeAutospacing="0" w:after="0" w:afterAutospacing="0" w:line="276" w:lineRule="auto"/>
        <w:ind w:firstLine="709"/>
        <w:jc w:val="both"/>
      </w:pPr>
      <w:r w:rsidRPr="00DF128A">
        <w:t>8. ledna 2002 Flextronics odmítl spekulace, že by městu vykazoval zkreslené údaje o počtu svých nových zaměstnanců. Podle náměstka primátora Viléma Buriánka se vyskytly neověřené informace, že firma zaměstnává lidi na tříměsíční zkušební dobu a po jejím uplynutí je propouští a nabírá další. 5. dubna 2002 firma snížila počet zaměstnanců asi o 500 lidí na 1750. Důvodem bylo podle společnosti Flextronics sezónní pokles výroby. Ve druhé polovině roku počítala s opětovným zvyšováním stavů.</w:t>
      </w:r>
      <w:r w:rsidR="007C7831">
        <w:t xml:space="preserve"> </w:t>
      </w:r>
    </w:p>
    <w:p w:rsidR="00DF128A" w:rsidRPr="00DF128A" w:rsidRDefault="00DF128A" w:rsidP="00DF128A">
      <w:pPr>
        <w:pStyle w:val="Normlnweb"/>
        <w:widowControl w:val="0"/>
        <w:spacing w:before="0" w:beforeAutospacing="0" w:after="0" w:afterAutospacing="0" w:line="276" w:lineRule="auto"/>
        <w:ind w:firstLine="709"/>
        <w:jc w:val="both"/>
      </w:pPr>
      <w:r w:rsidRPr="00DF128A">
        <w:t>16. dubna 2002 brněnští zastupitelé prodali firmě část pozemků v oblasti průmyslové zóny za jednu korunu. 10. května 2002 Flextronics ohlásil, že v následujících třech měsících propustí dalších 550 lidí. Stav zaměstnanců se tak snížil na 1200 zaměstnanců. Důvodem propouštění byla podle firmy recese na trhu telekomunikací a elektroniky. 22. května 2002 starosta brněnské městské části Černovice a člen brněnského zastupitelstva Jiří Houdek žádal v zastupitelstvu města Brna znovu otevřít a projednat smlouvu s firmou kvůli údajnému nedodržování smlouvy s městem. Především usiloval o přehodnocení prodeje části pozemků za symbolickou jednu korunu. (</w:t>
      </w:r>
      <w:r w:rsidR="007C7831">
        <w:t>Mareš</w:t>
      </w:r>
      <w:r w:rsidRPr="00DF128A">
        <w:t xml:space="preserve"> 2002).</w:t>
      </w:r>
    </w:p>
    <w:p w:rsidR="00DF128A" w:rsidRPr="00DF128A" w:rsidRDefault="00DF128A" w:rsidP="00DF128A">
      <w:pPr>
        <w:pStyle w:val="Normlnweb"/>
        <w:widowControl w:val="0"/>
        <w:spacing w:before="0" w:beforeAutospacing="0" w:after="0" w:afterAutospacing="0" w:line="276" w:lineRule="auto"/>
        <w:ind w:firstLine="709"/>
        <w:jc w:val="both"/>
        <w:rPr>
          <w:rStyle w:val="text11"/>
        </w:rPr>
      </w:pPr>
      <w:r w:rsidRPr="00DF128A">
        <w:rPr>
          <w:rStyle w:val="text11"/>
        </w:rPr>
        <w:t xml:space="preserve">Druhý červencový čtvrtek, </w:t>
      </w:r>
      <w:r w:rsidRPr="00DF128A">
        <w:t xml:space="preserve">11. července 2002, </w:t>
      </w:r>
      <w:r w:rsidRPr="00DF128A">
        <w:rPr>
          <w:rStyle w:val="text11"/>
        </w:rPr>
        <w:t xml:space="preserve">pozvalo vedení brněnské firmy Flextronics více než tisícovku svých zaměstnanců na celopodnikový mítink, kde jim oznámilo, že šéfové světového koncernu se rozhodli brněnský závod zrušit a jeho výrobu přesunout do Maďarska. </w:t>
      </w:r>
      <w:r w:rsidRPr="00DF128A">
        <w:t xml:space="preserve">Flextronics zdůvodnil svůj odchod z Brna pokračujícím poklesem na celosvětovém trhu. </w:t>
      </w:r>
      <w:r w:rsidRPr="00DF128A">
        <w:rPr>
          <w:rStyle w:val="text11"/>
        </w:rPr>
        <w:t xml:space="preserve">Výrobní zařízení přesunul do Maďarska. Podle Flextroncisu jsou polské závody navázány na Skandinávii, v Maďarsku </w:t>
      </w:r>
      <w:r w:rsidR="007C7831">
        <w:rPr>
          <w:rStyle w:val="text11"/>
        </w:rPr>
        <w:t>bylo</w:t>
      </w:r>
      <w:r w:rsidRPr="00DF128A">
        <w:rPr>
          <w:rStyle w:val="text11"/>
        </w:rPr>
        <w:t xml:space="preserve"> závodů víc, navíc specializovanější</w:t>
      </w:r>
      <w:r w:rsidR="007C7831">
        <w:rPr>
          <w:rStyle w:val="text11"/>
        </w:rPr>
        <w:t>ch,</w:t>
      </w:r>
      <w:r w:rsidRPr="00DF128A">
        <w:rPr>
          <w:rStyle w:val="text11"/>
        </w:rPr>
        <w:t xml:space="preserve"> </w:t>
      </w:r>
      <w:r w:rsidR="007C7831">
        <w:rPr>
          <w:rStyle w:val="text11"/>
        </w:rPr>
        <w:t xml:space="preserve">a </w:t>
      </w:r>
      <w:r w:rsidRPr="00DF128A">
        <w:rPr>
          <w:rStyle w:val="text11"/>
        </w:rPr>
        <w:t xml:space="preserve">proto by se těžko rušily. Kritici jsou ovšem jiného názoru: firma odešla poté, co získala všechny možné pobídky a úlevy od státu. Objevily se i spekulace, že za odchodem </w:t>
      </w:r>
      <w:r w:rsidR="007C7831">
        <w:rPr>
          <w:rStyle w:val="text11"/>
        </w:rPr>
        <w:t>stála</w:t>
      </w:r>
      <w:r w:rsidRPr="00DF128A">
        <w:rPr>
          <w:rStyle w:val="text11"/>
        </w:rPr>
        <w:t xml:space="preserve"> i nebývale silná koruna - zatímco při otevření továrny v listopadu 2000 stál dolar okolo 40 korun, při odchodu byl k dostání o čtvrtinu l</w:t>
      </w:r>
      <w:r w:rsidR="007C7831">
        <w:rPr>
          <w:rStyle w:val="text11"/>
        </w:rPr>
        <w:t>evněj</w:t>
      </w:r>
      <w:r w:rsidRPr="00DF128A">
        <w:rPr>
          <w:rStyle w:val="text11"/>
        </w:rPr>
        <w:t>i.</w:t>
      </w:r>
    </w:p>
    <w:p w:rsidR="00DF128A" w:rsidRPr="00DF128A" w:rsidRDefault="00DF128A" w:rsidP="00DF128A">
      <w:pPr>
        <w:pStyle w:val="Normlnweb"/>
        <w:widowControl w:val="0"/>
        <w:spacing w:before="0" w:beforeAutospacing="0" w:after="0" w:afterAutospacing="0" w:line="276" w:lineRule="auto"/>
        <w:ind w:firstLine="709"/>
        <w:jc w:val="both"/>
      </w:pPr>
      <w:r w:rsidRPr="00DF128A">
        <w:t xml:space="preserve">Brněnský magistrát v rekci uvedl, že pokud firma nedodrží závazek a neudrží pracovní místa, bude požadovat doplacení tržní ceny za pozemky. </w:t>
      </w:r>
      <w:r w:rsidRPr="00DF128A">
        <w:rPr>
          <w:rStyle w:val="text11"/>
        </w:rPr>
        <w:t>Město Brno si totiž ve smlouvě vymínilo, že pokud Flextronics po dobu pěti let nezaměstná alespoň tři tisíce lidí, bude muset za uvedených sedm hektarů zaplatit tržní cenu. Flextronics spolu s městem i CzechInvestem proto ihned začal shánět zahraničního investora, který by uvedené podmínky podpory splnil a zaujal jeho místo.</w:t>
      </w:r>
      <w:r w:rsidRPr="00DF128A">
        <w:t xml:space="preserve"> CzechInvest požadoval, aby firma státu vrátila investiční pobídky. Flextronics při svém působení v Brně čerpal dotaci 1,5 milionu korun na pracovní místa, kterou po ukončení výroby vrátil. 100 milionů korun je suma, kterou mu stát odpustil na daních. (</w:t>
      </w:r>
      <w:r w:rsidR="007C7831">
        <w:t xml:space="preserve">Pokorný </w:t>
      </w:r>
      <w:r w:rsidRPr="00DF128A">
        <w:t>2002).</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128A" w:rsidP="00DF45D0">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Vývojové oddělení</w:t>
      </w:r>
    </w:p>
    <w:p w:rsidR="00DF128A" w:rsidRPr="00DF128A" w:rsidRDefault="00DF128A" w:rsidP="00DF128A">
      <w:pPr>
        <w:pStyle w:val="Normlnweb"/>
        <w:widowControl w:val="0"/>
        <w:spacing w:before="0" w:beforeAutospacing="0" w:after="0" w:afterAutospacing="0" w:line="276" w:lineRule="auto"/>
        <w:ind w:firstLine="709"/>
        <w:jc w:val="both"/>
      </w:pPr>
      <w:r w:rsidRPr="00DF128A">
        <w:rPr>
          <w:rStyle w:val="text11"/>
        </w:rPr>
        <w:t>V Brně zůstalo jen vývojové oddělení s několika desítkami zaměstnanců. Vývojové centrum v Brně - FLEXTRONICS DESIGN, s.r.o. - se postupně stalo jedním z největších v Evropě v rámci Flextronics</w:t>
      </w:r>
      <w:r w:rsidRPr="00DF128A">
        <w:t xml:space="preserve">. Vývoj probíhá v Brně až do fáze prototypů. Výroba pak přechází do některého ze závodů v Evropě nebo (v případě velkoobjemové výroby) v Asii.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Produkty a zařízení, která Flextronics Design Brno vyvíjí nebo v minulosti vyvinul, lze rozdělit do tří základních skupin podle segmentu trhu: mobilní sítě, řízení letecké dopravy a měřící přístroje. (</w:t>
      </w:r>
      <w:r w:rsidRPr="00DF128A">
        <w:rPr>
          <w:rFonts w:ascii="Times New Roman" w:hAnsi="Times New Roman" w:cs="Times New Roman"/>
          <w:i/>
          <w:sz w:val="24"/>
          <w:szCs w:val="24"/>
        </w:rPr>
        <w:t>Historie Flextronics Design, s.r.o.</w:t>
      </w:r>
      <w:r w:rsidRPr="00DF128A">
        <w:rPr>
          <w:rFonts w:ascii="Times New Roman" w:hAnsi="Times New Roman" w:cs="Times New Roman"/>
          <w:sz w:val="24"/>
          <w:szCs w:val="24"/>
        </w:rPr>
        <w:t>, 2006).</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128A" w:rsidP="00DF45D0">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lastRenderedPageBreak/>
        <w:t>Nový vývoj Černovické terasy</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Výstavba výrobního závodu firmy Flextronics rozdělila území na dvě menší části, a tím snížila jejich využitelnost pro velké investory. Stohektarová část průmyslové zóny byla i nadále určena pro strategické investory. Dalších </w:t>
      </w:r>
      <w:smartTag w:uri="urn:schemas-microsoft-com:office:smarttags" w:element="metricconverter">
        <w:smartTagPr>
          <w:attr w:name="ProductID" w:val="46 hektarů"/>
        </w:smartTagPr>
        <w:r w:rsidRPr="00DF128A">
          <w:rPr>
            <w:rFonts w:ascii="Times New Roman" w:hAnsi="Times New Roman" w:cs="Times New Roman"/>
            <w:sz w:val="24"/>
            <w:szCs w:val="24"/>
          </w:rPr>
          <w:t>46 hektarů</w:t>
        </w:r>
      </w:smartTag>
      <w:r w:rsidRPr="00DF128A">
        <w:rPr>
          <w:rFonts w:ascii="Times New Roman" w:hAnsi="Times New Roman" w:cs="Times New Roman"/>
          <w:sz w:val="24"/>
          <w:szCs w:val="24"/>
        </w:rPr>
        <w:t xml:space="preserve"> průmyslové zóny získalo nový režim s možností umístit i nepobídkové investory ze zpracovatelského průmyslu, technologických center a strategických služeb</w:t>
      </w:r>
      <w:r w:rsidR="007C7831">
        <w:rPr>
          <w:rFonts w:ascii="Times New Roman" w:hAnsi="Times New Roman" w:cs="Times New Roman"/>
          <w:sz w:val="24"/>
          <w:szCs w:val="24"/>
        </w:rPr>
        <w:t xml:space="preserve"> (viz obr. 3)</w:t>
      </w:r>
      <w:r w:rsidRPr="00DF128A">
        <w:rPr>
          <w:rFonts w:ascii="Times New Roman" w:hAnsi="Times New Roman" w:cs="Times New Roman"/>
          <w:sz w:val="24"/>
          <w:szCs w:val="24"/>
        </w:rPr>
        <w:t>.</w:t>
      </w:r>
    </w:p>
    <w:p w:rsid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Objekt firmy Flextronics v průmyslové zóně Brně-Černovicích nezůstal dlouho prázdný. Po Flextronicsu, který odešel z této dva roky staré budovy, sem zamířila společnost Honeywell, respektive její divize Automation and Control Solutions (ACS), která podepsala sedmiletou nájemní smlouvu. Honeywell je přední americká výrobní korporace podnikající celosvětově například v letectví, automatizaci obytných domů a budov, automobilovém průmyslu, speciální chemii a plastech a materiálech pro elektroniku. V pronajaté budově Honeywell soustředil jednu ze svých aktivit - výrobu zabezpečovacích systémů. Jejím dalším záměrem se stalo dokončení ohlášeného přesunu části produkce v oblasti automatizace budov a řízení vytápění ze západní Evropy právě do Brna. (</w:t>
      </w:r>
      <w:r w:rsidR="007C7831">
        <w:rPr>
          <w:rFonts w:ascii="Times New Roman" w:hAnsi="Times New Roman" w:cs="Times New Roman"/>
          <w:sz w:val="24"/>
          <w:szCs w:val="24"/>
        </w:rPr>
        <w:t xml:space="preserve">Rybáková </w:t>
      </w:r>
      <w:r w:rsidRPr="00DF128A">
        <w:rPr>
          <w:rFonts w:ascii="Times New Roman" w:hAnsi="Times New Roman" w:cs="Times New Roman"/>
          <w:sz w:val="24"/>
          <w:szCs w:val="24"/>
        </w:rPr>
        <w:t>2003).</w:t>
      </w:r>
    </w:p>
    <w:p w:rsidR="007C7831" w:rsidRPr="00DF128A" w:rsidRDefault="007C7831"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45D0">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noProof/>
          <w:sz w:val="24"/>
          <w:szCs w:val="24"/>
          <w:lang w:eastAsia="cs-CZ"/>
        </w:rPr>
        <w:drawing>
          <wp:inline distT="0" distB="0" distL="0" distR="0" wp14:anchorId="01E1485E" wp14:editId="3AA1FB24">
            <wp:extent cx="3724275" cy="5153025"/>
            <wp:effectExtent l="0" t="0" r="9525" b="9525"/>
            <wp:docPr id="19" name="Obrázek 19" descr="orto000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rto0002_e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24275" cy="5153025"/>
                    </a:xfrm>
                    <a:prstGeom prst="rect">
                      <a:avLst/>
                    </a:prstGeom>
                    <a:noFill/>
                    <a:ln>
                      <a:noFill/>
                    </a:ln>
                  </pic:spPr>
                </pic:pic>
              </a:graphicData>
            </a:graphic>
          </wp:inline>
        </w:drawing>
      </w:r>
    </w:p>
    <w:p w:rsidR="00DF45D0" w:rsidRPr="00DF45D0" w:rsidRDefault="00DF128A" w:rsidP="00DF45D0">
      <w:pPr>
        <w:pStyle w:val="Normlnweb"/>
        <w:widowControl w:val="0"/>
        <w:spacing w:before="0" w:beforeAutospacing="0" w:after="0" w:afterAutospacing="0" w:line="276" w:lineRule="auto"/>
        <w:jc w:val="both"/>
        <w:rPr>
          <w:sz w:val="20"/>
          <w:szCs w:val="20"/>
        </w:rPr>
      </w:pPr>
      <w:r w:rsidRPr="00DF128A">
        <w:t>Obr. 3. Průmyslová zóna Černovická terasa</w:t>
      </w:r>
      <w:r w:rsidR="00953812">
        <w:t xml:space="preserve"> (</w:t>
      </w:r>
      <w:r w:rsidR="00953812">
        <w:rPr>
          <w:i/>
        </w:rPr>
        <w:t xml:space="preserve">zdroj: </w:t>
      </w:r>
      <w:r w:rsidR="00DF45D0" w:rsidRPr="00DF45D0">
        <w:rPr>
          <w:i/>
          <w:sz w:val="20"/>
          <w:szCs w:val="20"/>
        </w:rPr>
        <w:t>Brno – Černovická terasa.</w:t>
      </w:r>
      <w:r w:rsidR="00DF45D0" w:rsidRPr="00DF45D0">
        <w:rPr>
          <w:sz w:val="20"/>
          <w:szCs w:val="20"/>
        </w:rPr>
        <w:t xml:space="preserve"> In:</w:t>
      </w:r>
      <w:r w:rsidR="00DF45D0" w:rsidRPr="00DF45D0">
        <w:rPr>
          <w:i/>
          <w:sz w:val="20"/>
          <w:szCs w:val="20"/>
        </w:rPr>
        <w:t xml:space="preserve"> Industrial zone, Invest in the Eastern Europe, Invest in Brno.</w:t>
      </w:r>
      <w:r w:rsidR="00DF45D0" w:rsidRPr="00DF45D0">
        <w:rPr>
          <w:sz w:val="20"/>
          <w:szCs w:val="20"/>
        </w:rPr>
        <w:t xml:space="preserve"> Krajský úřad Jihomoravského kraje a Statutární město</w:t>
      </w:r>
      <w:r w:rsidR="00953812">
        <w:rPr>
          <w:sz w:val="20"/>
          <w:szCs w:val="20"/>
        </w:rPr>
        <w:t>)</w:t>
      </w:r>
      <w:r w:rsidR="00DF45D0" w:rsidRPr="00DF45D0">
        <w:rPr>
          <w:sz w:val="20"/>
          <w:szCs w:val="20"/>
        </w:rPr>
        <w:t xml:space="preserve"> </w:t>
      </w:r>
    </w:p>
    <w:p w:rsidR="00DF45D0" w:rsidRPr="00DF128A" w:rsidRDefault="00DF45D0" w:rsidP="00DF128A">
      <w:pPr>
        <w:pStyle w:val="Normlnweb"/>
        <w:widowControl w:val="0"/>
        <w:spacing w:before="0" w:beforeAutospacing="0" w:after="0" w:afterAutospacing="0" w:line="276" w:lineRule="auto"/>
        <w:ind w:firstLine="709"/>
        <w:jc w:val="both"/>
      </w:pPr>
    </w:p>
    <w:p w:rsidR="00DF128A" w:rsidRPr="00DF128A" w:rsidRDefault="00DF128A" w:rsidP="00DF45D0">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V současné době v průmyslové zóně Černovická terasa působí tyto společnosti:</w:t>
      </w:r>
    </w:p>
    <w:p w:rsidR="00DF128A" w:rsidRPr="00DF128A" w:rsidRDefault="00DF128A" w:rsidP="00DF45D0">
      <w:pPr>
        <w:widowControl w:val="0"/>
        <w:numPr>
          <w:ilvl w:val="0"/>
          <w:numId w:val="18"/>
        </w:numPr>
        <w:tabs>
          <w:tab w:val="clear" w:pos="567"/>
          <w:tab w:val="num" w:pos="284"/>
        </w:tabs>
        <w:spacing w:line="276" w:lineRule="auto"/>
        <w:ind w:left="0" w:firstLine="0"/>
        <w:jc w:val="both"/>
        <w:rPr>
          <w:rFonts w:ascii="Times New Roman" w:hAnsi="Times New Roman" w:cs="Times New Roman"/>
          <w:sz w:val="24"/>
          <w:szCs w:val="24"/>
        </w:rPr>
      </w:pPr>
      <w:r w:rsidRPr="00DF128A">
        <w:rPr>
          <w:rFonts w:ascii="Times New Roman" w:hAnsi="Times New Roman" w:cs="Times New Roman"/>
          <w:sz w:val="24"/>
          <w:szCs w:val="24"/>
        </w:rPr>
        <w:t>Honeywell, s.r.o. (elektronika, kontrolní zařízení pro průmysl a automatizaci a pro letecký průmysl)</w:t>
      </w:r>
    </w:p>
    <w:p w:rsidR="00DF128A" w:rsidRPr="00DF128A" w:rsidRDefault="00DF128A" w:rsidP="00DF45D0">
      <w:pPr>
        <w:widowControl w:val="0"/>
        <w:numPr>
          <w:ilvl w:val="0"/>
          <w:numId w:val="18"/>
        </w:numPr>
        <w:tabs>
          <w:tab w:val="clear" w:pos="567"/>
          <w:tab w:val="num" w:pos="284"/>
        </w:tabs>
        <w:spacing w:line="276" w:lineRule="auto"/>
        <w:ind w:left="0" w:firstLine="0"/>
        <w:jc w:val="both"/>
        <w:rPr>
          <w:rFonts w:ascii="Times New Roman" w:hAnsi="Times New Roman" w:cs="Times New Roman"/>
          <w:sz w:val="24"/>
          <w:szCs w:val="24"/>
        </w:rPr>
      </w:pPr>
      <w:r w:rsidRPr="00DF128A">
        <w:rPr>
          <w:rFonts w:ascii="Times New Roman" w:hAnsi="Times New Roman" w:cs="Times New Roman"/>
          <w:sz w:val="24"/>
          <w:szCs w:val="24"/>
        </w:rPr>
        <w:t>Carclo Technical Plastics - Brno, s.r.o. (výlisky pro kompletaci elektronických výrobků)</w:t>
      </w:r>
    </w:p>
    <w:p w:rsidR="00DF128A" w:rsidRPr="00DF128A" w:rsidRDefault="00DF128A" w:rsidP="00DF45D0">
      <w:pPr>
        <w:widowControl w:val="0"/>
        <w:numPr>
          <w:ilvl w:val="0"/>
          <w:numId w:val="18"/>
        </w:numPr>
        <w:tabs>
          <w:tab w:val="clear" w:pos="567"/>
          <w:tab w:val="num" w:pos="284"/>
        </w:tabs>
        <w:spacing w:line="276" w:lineRule="auto"/>
        <w:ind w:left="0" w:firstLine="0"/>
        <w:jc w:val="both"/>
        <w:rPr>
          <w:rFonts w:ascii="Times New Roman" w:hAnsi="Times New Roman" w:cs="Times New Roman"/>
          <w:sz w:val="24"/>
          <w:szCs w:val="24"/>
        </w:rPr>
      </w:pPr>
      <w:r w:rsidRPr="00DF128A">
        <w:rPr>
          <w:rFonts w:ascii="Times New Roman" w:hAnsi="Times New Roman" w:cs="Times New Roman"/>
          <w:sz w:val="24"/>
          <w:szCs w:val="24"/>
        </w:rPr>
        <w:t>Daikin (japonská firma výroba kompresorů do klimatizačních jednotek)</w:t>
      </w:r>
    </w:p>
    <w:p w:rsidR="00DF128A" w:rsidRPr="00DF128A" w:rsidRDefault="00DF128A" w:rsidP="00DF45D0">
      <w:pPr>
        <w:widowControl w:val="0"/>
        <w:numPr>
          <w:ilvl w:val="0"/>
          <w:numId w:val="18"/>
        </w:numPr>
        <w:tabs>
          <w:tab w:val="clear" w:pos="567"/>
          <w:tab w:val="num" w:pos="284"/>
        </w:tabs>
        <w:spacing w:line="276" w:lineRule="auto"/>
        <w:ind w:left="0" w:firstLine="0"/>
        <w:jc w:val="both"/>
        <w:rPr>
          <w:rFonts w:ascii="Times New Roman" w:hAnsi="Times New Roman" w:cs="Times New Roman"/>
          <w:sz w:val="24"/>
          <w:szCs w:val="24"/>
        </w:rPr>
      </w:pPr>
      <w:r w:rsidRPr="00DF128A">
        <w:rPr>
          <w:rFonts w:ascii="Times New Roman" w:hAnsi="Times New Roman" w:cs="Times New Roman"/>
          <w:sz w:val="24"/>
          <w:szCs w:val="24"/>
        </w:rPr>
        <w:t>Aguna  (švýcarská firma vývoj a výroba precizních nástrojů)</w:t>
      </w:r>
    </w:p>
    <w:p w:rsidR="00DF128A" w:rsidRPr="00DF128A" w:rsidRDefault="00DF128A" w:rsidP="00DF45D0">
      <w:pPr>
        <w:widowControl w:val="0"/>
        <w:numPr>
          <w:ilvl w:val="0"/>
          <w:numId w:val="18"/>
        </w:numPr>
        <w:tabs>
          <w:tab w:val="clear" w:pos="567"/>
          <w:tab w:val="num" w:pos="284"/>
        </w:tabs>
        <w:spacing w:line="276" w:lineRule="auto"/>
        <w:ind w:left="0" w:firstLine="0"/>
        <w:jc w:val="both"/>
        <w:rPr>
          <w:rFonts w:ascii="Times New Roman" w:hAnsi="Times New Roman" w:cs="Times New Roman"/>
          <w:sz w:val="24"/>
          <w:szCs w:val="24"/>
        </w:rPr>
      </w:pPr>
      <w:r w:rsidRPr="00DF128A">
        <w:rPr>
          <w:rFonts w:ascii="Times New Roman" w:hAnsi="Times New Roman" w:cs="Times New Roman"/>
          <w:sz w:val="24"/>
          <w:szCs w:val="24"/>
        </w:rPr>
        <w:t>Omori (japonská společnost, výrobce automatických komponent motorů, součástí kompresorů pro klimatizace, kontrolních ventilů, atd.)</w:t>
      </w:r>
    </w:p>
    <w:p w:rsidR="00DF128A" w:rsidRPr="00DF128A" w:rsidRDefault="00DF128A" w:rsidP="00DF45D0">
      <w:pPr>
        <w:widowControl w:val="0"/>
        <w:numPr>
          <w:ilvl w:val="0"/>
          <w:numId w:val="18"/>
        </w:numPr>
        <w:tabs>
          <w:tab w:val="clear" w:pos="567"/>
          <w:tab w:val="num" w:pos="284"/>
        </w:tabs>
        <w:spacing w:line="276" w:lineRule="auto"/>
        <w:ind w:left="0" w:firstLine="0"/>
        <w:jc w:val="both"/>
        <w:rPr>
          <w:rFonts w:ascii="Times New Roman" w:hAnsi="Times New Roman" w:cs="Times New Roman"/>
          <w:sz w:val="24"/>
          <w:szCs w:val="24"/>
        </w:rPr>
      </w:pPr>
      <w:r w:rsidRPr="00DF128A">
        <w:rPr>
          <w:rFonts w:ascii="Times New Roman" w:hAnsi="Times New Roman" w:cs="Times New Roman"/>
          <w:sz w:val="24"/>
          <w:szCs w:val="24"/>
        </w:rPr>
        <w:t>Daido Metal (japonská firma, výrobce ložisek)</w:t>
      </w:r>
    </w:p>
    <w:p w:rsidR="00DF128A" w:rsidRPr="00DF128A" w:rsidRDefault="00DF128A" w:rsidP="00DF45D0">
      <w:pPr>
        <w:widowControl w:val="0"/>
        <w:numPr>
          <w:ilvl w:val="0"/>
          <w:numId w:val="18"/>
        </w:numPr>
        <w:tabs>
          <w:tab w:val="clear" w:pos="567"/>
          <w:tab w:val="num" w:pos="284"/>
        </w:tabs>
        <w:spacing w:line="276" w:lineRule="auto"/>
        <w:ind w:left="0" w:firstLine="0"/>
        <w:jc w:val="both"/>
        <w:rPr>
          <w:rFonts w:ascii="Times New Roman" w:hAnsi="Times New Roman" w:cs="Times New Roman"/>
          <w:sz w:val="24"/>
          <w:szCs w:val="24"/>
        </w:rPr>
      </w:pPr>
      <w:r w:rsidRPr="00DF128A">
        <w:rPr>
          <w:rFonts w:ascii="Times New Roman" w:hAnsi="Times New Roman" w:cs="Times New Roman"/>
          <w:sz w:val="24"/>
          <w:szCs w:val="24"/>
        </w:rPr>
        <w:t>BOMAR (rakouský výrobce strojů na dělení kovů)</w:t>
      </w:r>
    </w:p>
    <w:p w:rsidR="00DF128A" w:rsidRPr="00DF128A" w:rsidRDefault="00DF128A" w:rsidP="00DF45D0">
      <w:pPr>
        <w:widowControl w:val="0"/>
        <w:numPr>
          <w:ilvl w:val="0"/>
          <w:numId w:val="18"/>
        </w:numPr>
        <w:tabs>
          <w:tab w:val="clear" w:pos="567"/>
          <w:tab w:val="num" w:pos="284"/>
        </w:tabs>
        <w:spacing w:line="276" w:lineRule="auto"/>
        <w:ind w:left="0" w:firstLine="0"/>
        <w:jc w:val="both"/>
        <w:rPr>
          <w:rFonts w:ascii="Times New Roman" w:hAnsi="Times New Roman" w:cs="Times New Roman"/>
          <w:sz w:val="24"/>
          <w:szCs w:val="24"/>
        </w:rPr>
      </w:pPr>
      <w:r w:rsidRPr="00DF128A">
        <w:rPr>
          <w:rFonts w:ascii="Times New Roman" w:hAnsi="Times New Roman" w:cs="Times New Roman"/>
          <w:sz w:val="24"/>
          <w:szCs w:val="24"/>
        </w:rPr>
        <w:t>CTP Project Invest, spol. s r.o. – developer (financování, výstavba a pronájem objektů pro investory)</w:t>
      </w:r>
    </w:p>
    <w:p w:rsidR="00DF45D0" w:rsidRDefault="00DF45D0" w:rsidP="00DF45D0">
      <w:pPr>
        <w:widowControl w:val="0"/>
        <w:spacing w:line="276" w:lineRule="auto"/>
        <w:jc w:val="both"/>
        <w:rPr>
          <w:rFonts w:ascii="Times New Roman" w:hAnsi="Times New Roman" w:cs="Times New Roman"/>
          <w:sz w:val="24"/>
          <w:szCs w:val="24"/>
        </w:rPr>
      </w:pPr>
    </w:p>
    <w:p w:rsidR="00DF128A" w:rsidRPr="00DF128A" w:rsidRDefault="00DF128A" w:rsidP="00DF45D0">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V současné době je realizována výstavba pro firmy: Acer, GigaByte Technology, Moduslink, ADC, Andrew, Pilkington, Maehler&amp;Koege, Bodycote. (</w:t>
      </w:r>
      <w:r w:rsidRPr="00DF128A">
        <w:rPr>
          <w:rFonts w:ascii="Times New Roman" w:hAnsi="Times New Roman" w:cs="Times New Roman"/>
          <w:i/>
          <w:sz w:val="24"/>
          <w:szCs w:val="24"/>
        </w:rPr>
        <w:t>Brno – Černovická terasa</w:t>
      </w:r>
      <w:r w:rsidRPr="00DF128A">
        <w:rPr>
          <w:rFonts w:ascii="Times New Roman" w:hAnsi="Times New Roman" w:cs="Times New Roman"/>
          <w:sz w:val="24"/>
          <w:szCs w:val="24"/>
        </w:rPr>
        <w:t>, 2007).</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45D0" w:rsidRDefault="00DF45D0" w:rsidP="00DF45D0">
      <w:pPr>
        <w:pStyle w:val="NZEVPODKAPITOLY"/>
        <w:widowControl w:val="0"/>
        <w:spacing w:line="276" w:lineRule="auto"/>
        <w:jc w:val="both"/>
        <w:rPr>
          <w:sz w:val="24"/>
          <w:szCs w:val="24"/>
        </w:rPr>
      </w:pPr>
      <w:r>
        <w:rPr>
          <w:sz w:val="24"/>
          <w:szCs w:val="24"/>
        </w:rPr>
        <w:t>Závěr</w:t>
      </w:r>
    </w:p>
    <w:p w:rsidR="00DF128A" w:rsidRPr="00DF128A" w:rsidRDefault="00DF128A" w:rsidP="00DF128A">
      <w:pPr>
        <w:pStyle w:val="Normlnweb"/>
        <w:widowControl w:val="0"/>
        <w:spacing w:before="0" w:beforeAutospacing="0" w:after="0" w:afterAutospacing="0" w:line="276" w:lineRule="auto"/>
        <w:ind w:firstLine="709"/>
        <w:jc w:val="both"/>
      </w:pPr>
      <w:r w:rsidRPr="00DF128A">
        <w:t xml:space="preserve">Společnost Flextronics je globální společností par excellence z titulu orientace své výroby na OEM a ODM dodávky. Vyrábí koncentrovaným způsobem stejné produkty pro různé značkové firmy, které je dále prodávají jako své. Jedná se tedy o ukázkový příklad economy of scale. </w:t>
      </w:r>
    </w:p>
    <w:p w:rsidR="00DF128A" w:rsidRPr="00DF128A" w:rsidRDefault="00DF128A" w:rsidP="00DF128A">
      <w:pPr>
        <w:pStyle w:val="Normlnweb"/>
        <w:widowControl w:val="0"/>
        <w:spacing w:before="0" w:beforeAutospacing="0" w:after="0" w:afterAutospacing="0" w:line="276" w:lineRule="auto"/>
        <w:ind w:firstLine="709"/>
        <w:jc w:val="both"/>
      </w:pPr>
      <w:r w:rsidRPr="00DF128A">
        <w:t xml:space="preserve">Samotná výroba Flextronicsu je také globálně rozdělena do všech důležitých regionů světa podle nízkých nákladů na pracovní sílu (a výrobu vůbec), podle blízkosti trhů a u high cost odvětví podle dostupnosti kvalifikované pracovní síly. Výroba je globálně řízena s pomocí specializovaných softwarů využívajících internetové spojení jednotlivých výrobních jednotek. </w:t>
      </w:r>
    </w:p>
    <w:p w:rsidR="00DF128A" w:rsidRPr="00DF128A" w:rsidRDefault="00DF128A" w:rsidP="00DF128A">
      <w:pPr>
        <w:pStyle w:val="Normlnweb"/>
        <w:widowControl w:val="0"/>
        <w:spacing w:before="0" w:beforeAutospacing="0" w:after="0" w:afterAutospacing="0" w:line="276" w:lineRule="auto"/>
        <w:ind w:firstLine="709"/>
        <w:jc w:val="both"/>
      </w:pPr>
      <w:r w:rsidRPr="00DF128A">
        <w:t xml:space="preserve">Příchod Flextronicsu do Brna byl motivován očekávaným rozvojem poptávky po výrobcích společnosti v Evropě a současně nízkými náklady na výrobu v prostoru střední Evropy. Příchod investora „na zelenou louku“ v tomto regionu byl v této době v takovém měřítku ojedinělý. </w:t>
      </w:r>
    </w:p>
    <w:p w:rsidR="00DF128A" w:rsidRPr="00DF128A" w:rsidRDefault="00DF128A" w:rsidP="00DF128A">
      <w:pPr>
        <w:pStyle w:val="Normlnweb"/>
        <w:widowControl w:val="0"/>
        <w:spacing w:before="0" w:beforeAutospacing="0" w:after="0" w:afterAutospacing="0" w:line="276" w:lineRule="auto"/>
        <w:ind w:firstLine="709"/>
        <w:jc w:val="both"/>
      </w:pPr>
      <w:r w:rsidRPr="00DF128A">
        <w:t>Výroba v Brně probíhala v koordinaci s dalšími provozy společnosti Flextronics, v režimu just-in-time. Kvalifikační nároky na pracovní sílu byly nízké, a proto společnost sezónně nabírala další pracovníky, brigádníky, a jindy zase zaměstnance propouštěla. Flexibilní zaměstnávání zanedlouho nahradilo trvalé propouštění a následný přesun výroby do Maďarska.</w:t>
      </w:r>
    </w:p>
    <w:p w:rsidR="00DF128A" w:rsidRPr="00DF128A" w:rsidRDefault="00DF128A" w:rsidP="00DF128A">
      <w:pPr>
        <w:pStyle w:val="Normlnweb"/>
        <w:widowControl w:val="0"/>
        <w:spacing w:before="0" w:beforeAutospacing="0" w:after="0" w:afterAutospacing="0" w:line="276" w:lineRule="auto"/>
        <w:ind w:firstLine="709"/>
        <w:jc w:val="both"/>
      </w:pPr>
      <w:r w:rsidRPr="00DF128A">
        <w:t>Důvodů k odchodu bylo patrně více: nesplněná očekávání evropské poptávky, úspora z blízkosti v průmyslových parcích Maďarska a silná koruna. V okamžiku odchodu z České republiky Flextronics nadále investoval v Maďarsku, Číně a dalších zemí do nových výrobních projektů. V téže době také opouštěl výrobu v Irsku, docházelo k větší koncentraci výroby v evropském prostoru pro další snížení nákladů na výrobu.</w:t>
      </w:r>
    </w:p>
    <w:p w:rsidR="00DF128A" w:rsidRPr="00DF128A" w:rsidRDefault="00DF128A" w:rsidP="00DF128A">
      <w:pPr>
        <w:pStyle w:val="Normlnweb"/>
        <w:widowControl w:val="0"/>
        <w:spacing w:before="0" w:beforeAutospacing="0" w:after="0" w:afterAutospacing="0" w:line="276" w:lineRule="auto"/>
        <w:ind w:firstLine="709"/>
        <w:jc w:val="both"/>
      </w:pPr>
      <w:r w:rsidRPr="00DF128A">
        <w:t xml:space="preserve">Za pravý důvod odchodu společnosti Flextronics z Černovické terasy v Brně lze tedy označit asi především racionalizaci výroby Flextronicsu v Evropě spojené s její koncentrací do menšího počtu závodů. Další důvody, uvedené v předchozích kapitolách, byly jen </w:t>
      </w:r>
      <w:r w:rsidRPr="00DF128A">
        <w:lastRenderedPageBreak/>
        <w:t>faktorem pro rozhodnutí, že to bude právě brněnský závod, který bude zrušen.</w:t>
      </w:r>
    </w:p>
    <w:p w:rsidR="00DF128A" w:rsidRPr="00DF128A" w:rsidRDefault="00DF128A" w:rsidP="00DF128A">
      <w:pPr>
        <w:pStyle w:val="Normlnweb"/>
        <w:widowControl w:val="0"/>
        <w:spacing w:before="0" w:beforeAutospacing="0" w:after="0" w:afterAutospacing="0" w:line="276" w:lineRule="auto"/>
        <w:ind w:firstLine="709"/>
        <w:jc w:val="both"/>
      </w:pPr>
      <w:r w:rsidRPr="00DF128A">
        <w:t>Průmyslová zóna Černovická terasa si pro svou výhodnou polohu v regionu s relativně nízkými náklady na výrobu a kvalifikovaným zázemím brněnských vysokých škol brzy našla nové zájemce, americký Honeywell a japonské společnosti v čele s Daikinem, největším současným zaměstnavatelem na Černovické terase.</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45D0" w:rsidP="00DF45D0">
      <w:pPr>
        <w:pStyle w:val="NZEVPODKAPITOLY"/>
        <w:widowControl w:val="0"/>
        <w:spacing w:line="276" w:lineRule="auto"/>
        <w:jc w:val="both"/>
        <w:rPr>
          <w:sz w:val="24"/>
          <w:szCs w:val="24"/>
        </w:rPr>
      </w:pPr>
      <w:r>
        <w:rPr>
          <w:sz w:val="24"/>
          <w:szCs w:val="24"/>
        </w:rPr>
        <w:t>LITERATURA A ZDROJE</w:t>
      </w:r>
    </w:p>
    <w:p w:rsidR="00DF128A" w:rsidRPr="00424726" w:rsidRDefault="00DF128A" w:rsidP="007C7831">
      <w:pPr>
        <w:widowControl w:val="0"/>
        <w:spacing w:after="120" w:line="276" w:lineRule="auto"/>
        <w:jc w:val="both"/>
        <w:rPr>
          <w:rFonts w:ascii="Times New Roman" w:hAnsi="Times New Roman" w:cs="Times New Roman"/>
          <w:iCs/>
          <w:sz w:val="20"/>
          <w:szCs w:val="20"/>
        </w:rPr>
      </w:pPr>
      <w:r w:rsidRPr="007C7831">
        <w:rPr>
          <w:rFonts w:ascii="Times New Roman" w:hAnsi="Times New Roman" w:cs="Times New Roman"/>
          <w:iCs/>
          <w:sz w:val="20"/>
          <w:szCs w:val="20"/>
        </w:rPr>
        <w:t>B</w:t>
      </w:r>
      <w:r w:rsidR="007C7831" w:rsidRPr="007C7831">
        <w:rPr>
          <w:rFonts w:ascii="Times New Roman" w:hAnsi="Times New Roman" w:cs="Times New Roman"/>
          <w:iCs/>
          <w:sz w:val="20"/>
          <w:szCs w:val="20"/>
        </w:rPr>
        <w:t>eneš</w:t>
      </w:r>
      <w:r w:rsidRPr="007C7831">
        <w:rPr>
          <w:rFonts w:ascii="Times New Roman" w:hAnsi="Times New Roman" w:cs="Times New Roman"/>
          <w:iCs/>
          <w:sz w:val="20"/>
          <w:szCs w:val="20"/>
        </w:rPr>
        <w:t>, P.</w:t>
      </w:r>
      <w:r w:rsidR="00424726">
        <w:rPr>
          <w:rFonts w:ascii="Times New Roman" w:hAnsi="Times New Roman" w:cs="Times New Roman"/>
          <w:iCs/>
          <w:sz w:val="20"/>
          <w:szCs w:val="20"/>
        </w:rPr>
        <w:t xml:space="preserve"> (2004)</w:t>
      </w:r>
      <w:r w:rsidRPr="007C7831">
        <w:rPr>
          <w:rFonts w:ascii="Times New Roman" w:hAnsi="Times New Roman" w:cs="Times New Roman"/>
          <w:iCs/>
          <w:sz w:val="20"/>
          <w:szCs w:val="20"/>
        </w:rPr>
        <w:t>:</w:t>
      </w:r>
      <w:r w:rsidRPr="00622CAB">
        <w:rPr>
          <w:rFonts w:ascii="Times New Roman" w:hAnsi="Times New Roman" w:cs="Times New Roman"/>
          <w:i/>
          <w:iCs/>
          <w:sz w:val="20"/>
          <w:szCs w:val="20"/>
        </w:rPr>
        <w:t xml:space="preserve"> </w:t>
      </w:r>
      <w:r w:rsidRPr="00424726">
        <w:rPr>
          <w:rFonts w:ascii="Times New Roman" w:hAnsi="Times New Roman" w:cs="Times New Roman"/>
          <w:iCs/>
          <w:sz w:val="20"/>
          <w:szCs w:val="20"/>
        </w:rPr>
        <w:t>Recese prospívá těm, kteří nabízejí služby komplexního zajištění výroby.</w:t>
      </w:r>
      <w:r w:rsidRPr="00622CAB">
        <w:rPr>
          <w:rFonts w:ascii="Times New Roman" w:hAnsi="Times New Roman" w:cs="Times New Roman"/>
          <w:i/>
          <w:iCs/>
          <w:sz w:val="20"/>
          <w:szCs w:val="20"/>
        </w:rPr>
        <w:t xml:space="preserve"> </w:t>
      </w:r>
      <w:r w:rsidR="008848C0">
        <w:rPr>
          <w:rFonts w:ascii="Times New Roman" w:hAnsi="Times New Roman" w:cs="Times New Roman"/>
          <w:i/>
          <w:iCs/>
          <w:sz w:val="20"/>
          <w:szCs w:val="20"/>
        </w:rPr>
        <w:t>Sdělovací technika</w:t>
      </w:r>
      <w:r w:rsidRPr="00622CAB">
        <w:rPr>
          <w:rFonts w:ascii="Times New Roman" w:hAnsi="Times New Roman" w:cs="Times New Roman"/>
          <w:i/>
          <w:iCs/>
          <w:sz w:val="20"/>
          <w:szCs w:val="20"/>
        </w:rPr>
        <w:t xml:space="preserve">, </w:t>
      </w:r>
      <w:r w:rsidR="00B533A7" w:rsidRPr="00B533A7">
        <w:rPr>
          <w:rFonts w:ascii="Times New Roman" w:hAnsi="Times New Roman" w:cs="Times New Roman"/>
          <w:iCs/>
          <w:sz w:val="20"/>
          <w:szCs w:val="20"/>
        </w:rPr>
        <w:t>roč.</w:t>
      </w:r>
      <w:r w:rsidR="00B533A7">
        <w:rPr>
          <w:rFonts w:ascii="Times New Roman" w:hAnsi="Times New Roman" w:cs="Times New Roman"/>
          <w:i/>
          <w:iCs/>
          <w:sz w:val="20"/>
          <w:szCs w:val="20"/>
        </w:rPr>
        <w:t xml:space="preserve"> </w:t>
      </w:r>
      <w:r w:rsidRPr="00B533A7">
        <w:rPr>
          <w:rFonts w:ascii="Times New Roman" w:hAnsi="Times New Roman" w:cs="Times New Roman"/>
          <w:iCs/>
          <w:sz w:val="20"/>
          <w:szCs w:val="20"/>
        </w:rPr>
        <w:t>2004.</w:t>
      </w:r>
      <w:r w:rsidRPr="00622CAB">
        <w:rPr>
          <w:rFonts w:ascii="Times New Roman" w:hAnsi="Times New Roman" w:cs="Times New Roman"/>
          <w:i/>
          <w:iCs/>
          <w:sz w:val="20"/>
          <w:szCs w:val="20"/>
        </w:rPr>
        <w:t xml:space="preserve"> </w:t>
      </w:r>
    </w:p>
    <w:p w:rsidR="008848C0" w:rsidRDefault="00DF128A" w:rsidP="007C7831">
      <w:pPr>
        <w:widowControl w:val="0"/>
        <w:spacing w:after="120" w:line="276" w:lineRule="auto"/>
        <w:jc w:val="both"/>
        <w:rPr>
          <w:rFonts w:ascii="Times New Roman" w:hAnsi="Times New Roman" w:cs="Times New Roman"/>
          <w:i/>
          <w:iCs/>
          <w:sz w:val="20"/>
          <w:szCs w:val="20"/>
        </w:rPr>
      </w:pPr>
      <w:r w:rsidRPr="008848C0">
        <w:rPr>
          <w:rFonts w:ascii="Times New Roman" w:hAnsi="Times New Roman" w:cs="Times New Roman"/>
          <w:iCs/>
          <w:sz w:val="20"/>
          <w:szCs w:val="20"/>
        </w:rPr>
        <w:t>K</w:t>
      </w:r>
      <w:r w:rsidR="008848C0" w:rsidRPr="008848C0">
        <w:rPr>
          <w:rFonts w:ascii="Times New Roman" w:hAnsi="Times New Roman" w:cs="Times New Roman"/>
          <w:iCs/>
          <w:sz w:val="20"/>
          <w:szCs w:val="20"/>
        </w:rPr>
        <w:t>oubský</w:t>
      </w:r>
      <w:r w:rsidRPr="008848C0">
        <w:rPr>
          <w:rFonts w:ascii="Times New Roman" w:hAnsi="Times New Roman" w:cs="Times New Roman"/>
          <w:iCs/>
          <w:sz w:val="20"/>
          <w:szCs w:val="20"/>
        </w:rPr>
        <w:t>, P</w:t>
      </w:r>
      <w:r w:rsidRPr="00622CAB">
        <w:rPr>
          <w:rFonts w:ascii="Times New Roman" w:hAnsi="Times New Roman" w:cs="Times New Roman"/>
          <w:i/>
          <w:iCs/>
          <w:sz w:val="20"/>
          <w:szCs w:val="20"/>
        </w:rPr>
        <w:t>.</w:t>
      </w:r>
      <w:r w:rsidR="008848C0">
        <w:rPr>
          <w:rFonts w:ascii="Times New Roman" w:hAnsi="Times New Roman" w:cs="Times New Roman"/>
          <w:iCs/>
          <w:sz w:val="20"/>
          <w:szCs w:val="20"/>
        </w:rPr>
        <w:t xml:space="preserve"> (2002)</w:t>
      </w:r>
      <w:r w:rsidRPr="00622CAB">
        <w:rPr>
          <w:rFonts w:ascii="Times New Roman" w:hAnsi="Times New Roman" w:cs="Times New Roman"/>
          <w:i/>
          <w:iCs/>
          <w:sz w:val="20"/>
          <w:szCs w:val="20"/>
        </w:rPr>
        <w:t xml:space="preserve">: </w:t>
      </w:r>
      <w:r w:rsidRPr="008848C0">
        <w:rPr>
          <w:rFonts w:ascii="Times New Roman" w:hAnsi="Times New Roman" w:cs="Times New Roman"/>
          <w:iCs/>
          <w:sz w:val="20"/>
          <w:szCs w:val="20"/>
        </w:rPr>
        <w:t xml:space="preserve">Vraťte nám investiční pobídky! </w:t>
      </w:r>
      <w:r w:rsidR="008848C0">
        <w:rPr>
          <w:rFonts w:ascii="Times New Roman" w:hAnsi="Times New Roman" w:cs="Times New Roman"/>
          <w:i/>
          <w:iCs/>
          <w:sz w:val="20"/>
          <w:szCs w:val="20"/>
        </w:rPr>
        <w:t>Reflex</w:t>
      </w:r>
      <w:r w:rsidR="00B533A7">
        <w:rPr>
          <w:rFonts w:ascii="Times New Roman" w:hAnsi="Times New Roman" w:cs="Times New Roman"/>
          <w:i/>
          <w:iCs/>
          <w:sz w:val="20"/>
          <w:szCs w:val="20"/>
        </w:rPr>
        <w:t xml:space="preserve">, </w:t>
      </w:r>
      <w:r w:rsidR="00B533A7">
        <w:rPr>
          <w:rFonts w:ascii="Times New Roman" w:hAnsi="Times New Roman" w:cs="Times New Roman"/>
          <w:iCs/>
          <w:sz w:val="20"/>
          <w:szCs w:val="20"/>
        </w:rPr>
        <w:t>roč. 2002, č. 31.</w:t>
      </w:r>
      <w:r w:rsidRPr="00622CAB">
        <w:rPr>
          <w:rFonts w:ascii="Times New Roman" w:hAnsi="Times New Roman" w:cs="Times New Roman"/>
          <w:i/>
          <w:iCs/>
          <w:sz w:val="20"/>
          <w:szCs w:val="20"/>
        </w:rPr>
        <w:t xml:space="preserve"> </w:t>
      </w:r>
    </w:p>
    <w:p w:rsidR="00DF128A" w:rsidRPr="00622CAB" w:rsidRDefault="008848C0" w:rsidP="007C7831">
      <w:pPr>
        <w:widowControl w:val="0"/>
        <w:spacing w:after="120" w:line="276" w:lineRule="auto"/>
        <w:jc w:val="both"/>
        <w:rPr>
          <w:rFonts w:ascii="Times New Roman" w:hAnsi="Times New Roman" w:cs="Times New Roman"/>
          <w:i/>
          <w:iCs/>
          <w:sz w:val="20"/>
          <w:szCs w:val="20"/>
        </w:rPr>
      </w:pPr>
      <w:r>
        <w:rPr>
          <w:rFonts w:ascii="Times New Roman" w:hAnsi="Times New Roman" w:cs="Times New Roman"/>
          <w:iCs/>
          <w:sz w:val="20"/>
          <w:szCs w:val="20"/>
        </w:rPr>
        <w:t>Mareš</w:t>
      </w:r>
      <w:r w:rsidR="00DF128A" w:rsidRPr="008848C0">
        <w:rPr>
          <w:rFonts w:ascii="Times New Roman" w:hAnsi="Times New Roman" w:cs="Times New Roman"/>
          <w:iCs/>
          <w:sz w:val="20"/>
          <w:szCs w:val="20"/>
        </w:rPr>
        <w:t>, J.</w:t>
      </w:r>
      <w:r>
        <w:rPr>
          <w:rFonts w:ascii="Times New Roman" w:hAnsi="Times New Roman" w:cs="Times New Roman"/>
          <w:iCs/>
          <w:sz w:val="20"/>
          <w:szCs w:val="20"/>
        </w:rPr>
        <w:t xml:space="preserve"> (2002)</w:t>
      </w:r>
      <w:r w:rsidR="00DF128A" w:rsidRPr="008848C0">
        <w:rPr>
          <w:rFonts w:ascii="Times New Roman" w:hAnsi="Times New Roman" w:cs="Times New Roman"/>
          <w:iCs/>
          <w:sz w:val="20"/>
          <w:szCs w:val="20"/>
        </w:rPr>
        <w:t>: Spasí nás průmyslové zóny?</w:t>
      </w:r>
      <w:r w:rsidR="00DF128A" w:rsidRPr="00622CAB">
        <w:rPr>
          <w:rFonts w:ascii="Times New Roman" w:hAnsi="Times New Roman" w:cs="Times New Roman"/>
          <w:i/>
          <w:iCs/>
          <w:sz w:val="20"/>
          <w:szCs w:val="20"/>
        </w:rPr>
        <w:t xml:space="preserve"> Veřejná správa</w:t>
      </w:r>
      <w:r w:rsidR="00B533A7">
        <w:rPr>
          <w:rFonts w:ascii="Times New Roman" w:hAnsi="Times New Roman" w:cs="Times New Roman"/>
          <w:i/>
          <w:iCs/>
          <w:sz w:val="20"/>
          <w:szCs w:val="20"/>
        </w:rPr>
        <w:t xml:space="preserve">, </w:t>
      </w:r>
      <w:r w:rsidR="00B533A7" w:rsidRPr="00B533A7">
        <w:rPr>
          <w:rFonts w:ascii="Times New Roman" w:hAnsi="Times New Roman" w:cs="Times New Roman"/>
          <w:iCs/>
          <w:sz w:val="20"/>
          <w:szCs w:val="20"/>
        </w:rPr>
        <w:t>roč.</w:t>
      </w:r>
      <w:r w:rsidR="00B533A7">
        <w:rPr>
          <w:rFonts w:ascii="Times New Roman" w:hAnsi="Times New Roman" w:cs="Times New Roman"/>
          <w:iCs/>
          <w:sz w:val="20"/>
          <w:szCs w:val="20"/>
        </w:rPr>
        <w:t xml:space="preserve"> 2002, č.33</w:t>
      </w:r>
      <w:r w:rsidR="00B533A7">
        <w:rPr>
          <w:rFonts w:ascii="Times New Roman" w:hAnsi="Times New Roman" w:cs="Times New Roman"/>
          <w:i/>
          <w:iCs/>
          <w:sz w:val="20"/>
          <w:szCs w:val="20"/>
        </w:rPr>
        <w:t>.</w:t>
      </w:r>
    </w:p>
    <w:p w:rsidR="00DF128A" w:rsidRPr="00622CAB" w:rsidRDefault="008848C0" w:rsidP="007C7831">
      <w:pPr>
        <w:widowControl w:val="0"/>
        <w:spacing w:after="120" w:line="276" w:lineRule="auto"/>
        <w:jc w:val="both"/>
        <w:rPr>
          <w:rFonts w:ascii="Times New Roman" w:hAnsi="Times New Roman" w:cs="Times New Roman"/>
          <w:i/>
          <w:iCs/>
          <w:sz w:val="20"/>
          <w:szCs w:val="20"/>
        </w:rPr>
      </w:pPr>
      <w:r w:rsidRPr="00B533A7">
        <w:rPr>
          <w:rFonts w:ascii="Times New Roman" w:hAnsi="Times New Roman" w:cs="Times New Roman"/>
          <w:i/>
          <w:iCs/>
          <w:sz w:val="20"/>
          <w:szCs w:val="20"/>
        </w:rPr>
        <w:t>Plischke</w:t>
      </w:r>
      <w:r w:rsidR="00DF128A" w:rsidRPr="00B533A7">
        <w:rPr>
          <w:rFonts w:ascii="Times New Roman" w:hAnsi="Times New Roman" w:cs="Times New Roman"/>
          <w:i/>
          <w:iCs/>
          <w:sz w:val="20"/>
          <w:szCs w:val="20"/>
        </w:rPr>
        <w:t>, S. E.: Když se Flextronics a LG.Philips Displays loučí.</w:t>
      </w:r>
      <w:r w:rsidR="00DF128A" w:rsidRPr="00622CAB">
        <w:rPr>
          <w:rFonts w:ascii="Times New Roman" w:hAnsi="Times New Roman" w:cs="Times New Roman"/>
          <w:i/>
          <w:iCs/>
          <w:sz w:val="20"/>
          <w:szCs w:val="20"/>
        </w:rPr>
        <w:t xml:space="preserve"> </w:t>
      </w:r>
      <w:r w:rsidR="00DF128A" w:rsidRPr="00B533A7">
        <w:rPr>
          <w:rFonts w:ascii="Times New Roman" w:hAnsi="Times New Roman" w:cs="Times New Roman"/>
          <w:iCs/>
          <w:sz w:val="20"/>
          <w:szCs w:val="20"/>
        </w:rPr>
        <w:t>Peníze.CZ</w:t>
      </w:r>
      <w:r>
        <w:rPr>
          <w:rFonts w:ascii="Times New Roman" w:hAnsi="Times New Roman" w:cs="Times New Roman"/>
          <w:i/>
          <w:iCs/>
          <w:sz w:val="20"/>
          <w:szCs w:val="20"/>
        </w:rPr>
        <w:t>,</w:t>
      </w:r>
      <w:r w:rsidR="00DF128A" w:rsidRPr="00622CAB">
        <w:rPr>
          <w:rFonts w:ascii="Times New Roman" w:hAnsi="Times New Roman" w:cs="Times New Roman"/>
          <w:i/>
          <w:iCs/>
          <w:sz w:val="20"/>
          <w:szCs w:val="20"/>
        </w:rPr>
        <w:t xml:space="preserve"> </w:t>
      </w:r>
      <w:r w:rsidR="00DF128A" w:rsidRPr="00B533A7">
        <w:rPr>
          <w:rFonts w:ascii="Times New Roman" w:hAnsi="Times New Roman" w:cs="Times New Roman"/>
          <w:iCs/>
          <w:sz w:val="20"/>
          <w:szCs w:val="20"/>
        </w:rPr>
        <w:t>2006</w:t>
      </w:r>
      <w:r w:rsidR="00DF128A" w:rsidRPr="00622CAB">
        <w:rPr>
          <w:rFonts w:ascii="Times New Roman" w:hAnsi="Times New Roman" w:cs="Times New Roman"/>
          <w:i/>
          <w:iCs/>
          <w:sz w:val="20"/>
          <w:szCs w:val="20"/>
        </w:rPr>
        <w:t xml:space="preserve">. </w:t>
      </w:r>
      <w:r w:rsidR="00B533A7" w:rsidRPr="00DF128A">
        <w:rPr>
          <w:rFonts w:ascii="Times New Roman" w:hAnsi="Times New Roman" w:cs="Times New Roman"/>
          <w:sz w:val="20"/>
          <w:szCs w:val="20"/>
        </w:rPr>
        <w:t>Dostupn</w:t>
      </w:r>
      <w:r w:rsidR="00B533A7">
        <w:rPr>
          <w:rFonts w:ascii="Times New Roman" w:hAnsi="Times New Roman" w:cs="Times New Roman"/>
          <w:sz w:val="20"/>
          <w:szCs w:val="20"/>
        </w:rPr>
        <w:t>ý online</w:t>
      </w:r>
      <w:r w:rsidR="00B533A7" w:rsidRPr="00DF128A">
        <w:rPr>
          <w:rFonts w:ascii="Times New Roman" w:hAnsi="Times New Roman" w:cs="Times New Roman"/>
          <w:sz w:val="20"/>
          <w:szCs w:val="20"/>
        </w:rPr>
        <w:t xml:space="preserve"> &lt;</w:t>
      </w:r>
      <w:r w:rsidR="00B533A7" w:rsidRPr="00B533A7">
        <w:rPr>
          <w:rFonts w:ascii="Times New Roman" w:hAnsi="Times New Roman" w:cs="Times New Roman"/>
          <w:iCs/>
          <w:sz w:val="20"/>
          <w:szCs w:val="20"/>
        </w:rPr>
        <w:t>http://www.penize.cz/nezamestnanost/17830-kdyz-se-flextronics-a-lg-philips-displays-louci</w:t>
      </w:r>
      <w:r w:rsidR="00DF128A" w:rsidRPr="00622CAB">
        <w:rPr>
          <w:rFonts w:ascii="Times New Roman" w:hAnsi="Times New Roman" w:cs="Times New Roman"/>
          <w:i/>
          <w:iCs/>
          <w:sz w:val="20"/>
          <w:szCs w:val="20"/>
        </w:rPr>
        <w:t>&gt;</w:t>
      </w:r>
      <w:r w:rsidR="00B533A7">
        <w:rPr>
          <w:rFonts w:ascii="Times New Roman" w:hAnsi="Times New Roman" w:cs="Times New Roman"/>
          <w:i/>
          <w:iCs/>
          <w:sz w:val="20"/>
          <w:szCs w:val="20"/>
        </w:rPr>
        <w:t>.</w:t>
      </w:r>
      <w:r w:rsidR="00DF128A" w:rsidRPr="00622CAB">
        <w:rPr>
          <w:rFonts w:ascii="Times New Roman" w:hAnsi="Times New Roman" w:cs="Times New Roman"/>
          <w:i/>
          <w:iCs/>
          <w:sz w:val="20"/>
          <w:szCs w:val="20"/>
        </w:rPr>
        <w:t xml:space="preserve"> </w:t>
      </w:r>
      <w:r w:rsidR="00B533A7" w:rsidRPr="00DF128A">
        <w:rPr>
          <w:rFonts w:ascii="Times New Roman" w:hAnsi="Times New Roman" w:cs="Times New Roman"/>
          <w:sz w:val="20"/>
          <w:szCs w:val="20"/>
        </w:rPr>
        <w:t>[cit. 2</w:t>
      </w:r>
      <w:r w:rsidR="00B533A7">
        <w:rPr>
          <w:rFonts w:ascii="Times New Roman" w:hAnsi="Times New Roman" w:cs="Times New Roman"/>
          <w:sz w:val="20"/>
          <w:szCs w:val="20"/>
        </w:rPr>
        <w:t>0</w:t>
      </w:r>
      <w:r w:rsidR="00B533A7" w:rsidRPr="00DF128A">
        <w:rPr>
          <w:rFonts w:ascii="Times New Roman" w:hAnsi="Times New Roman" w:cs="Times New Roman"/>
          <w:sz w:val="20"/>
          <w:szCs w:val="20"/>
        </w:rPr>
        <w:t xml:space="preserve">. </w:t>
      </w:r>
      <w:r w:rsidR="00B533A7">
        <w:rPr>
          <w:rFonts w:ascii="Times New Roman" w:hAnsi="Times New Roman" w:cs="Times New Roman"/>
          <w:sz w:val="20"/>
          <w:szCs w:val="20"/>
        </w:rPr>
        <w:t>července</w:t>
      </w:r>
      <w:r w:rsidR="00B533A7" w:rsidRPr="00DF128A">
        <w:rPr>
          <w:rFonts w:ascii="Times New Roman" w:hAnsi="Times New Roman" w:cs="Times New Roman"/>
          <w:sz w:val="20"/>
          <w:szCs w:val="20"/>
        </w:rPr>
        <w:t xml:space="preserve"> 201</w:t>
      </w:r>
      <w:r w:rsidR="00B533A7">
        <w:rPr>
          <w:rFonts w:ascii="Times New Roman" w:hAnsi="Times New Roman" w:cs="Times New Roman"/>
          <w:sz w:val="20"/>
          <w:szCs w:val="20"/>
        </w:rPr>
        <w:t>1</w:t>
      </w:r>
      <w:r w:rsidR="00B533A7" w:rsidRPr="00DF128A">
        <w:rPr>
          <w:rFonts w:ascii="Times New Roman" w:hAnsi="Times New Roman" w:cs="Times New Roman"/>
          <w:sz w:val="20"/>
          <w:szCs w:val="20"/>
        </w:rPr>
        <w:t>].</w:t>
      </w:r>
      <w:r w:rsidR="00DF128A" w:rsidRPr="00622CAB">
        <w:rPr>
          <w:rFonts w:ascii="Times New Roman" w:hAnsi="Times New Roman" w:cs="Times New Roman"/>
          <w:i/>
          <w:iCs/>
          <w:sz w:val="20"/>
          <w:szCs w:val="20"/>
        </w:rPr>
        <w:t xml:space="preserve"> </w:t>
      </w:r>
    </w:p>
    <w:p w:rsidR="00DF128A" w:rsidRPr="00622CAB" w:rsidRDefault="008848C0" w:rsidP="007C7831">
      <w:pPr>
        <w:widowControl w:val="0"/>
        <w:spacing w:after="120" w:line="276" w:lineRule="auto"/>
        <w:jc w:val="both"/>
        <w:rPr>
          <w:rFonts w:ascii="Times New Roman" w:hAnsi="Times New Roman" w:cs="Times New Roman"/>
          <w:i/>
          <w:iCs/>
          <w:sz w:val="20"/>
          <w:szCs w:val="20"/>
        </w:rPr>
      </w:pPr>
      <w:r>
        <w:rPr>
          <w:rFonts w:ascii="Times New Roman" w:hAnsi="Times New Roman" w:cs="Times New Roman"/>
          <w:iCs/>
          <w:sz w:val="20"/>
          <w:szCs w:val="20"/>
        </w:rPr>
        <w:t>Pokorný</w:t>
      </w:r>
      <w:r w:rsidR="00DF128A" w:rsidRPr="008848C0">
        <w:rPr>
          <w:rFonts w:ascii="Times New Roman" w:hAnsi="Times New Roman" w:cs="Times New Roman"/>
          <w:iCs/>
          <w:sz w:val="20"/>
          <w:szCs w:val="20"/>
        </w:rPr>
        <w:t>, M.</w:t>
      </w:r>
      <w:r>
        <w:rPr>
          <w:rFonts w:ascii="Times New Roman" w:hAnsi="Times New Roman" w:cs="Times New Roman"/>
          <w:iCs/>
          <w:sz w:val="20"/>
          <w:szCs w:val="20"/>
        </w:rPr>
        <w:t xml:space="preserve"> (2002)</w:t>
      </w:r>
      <w:r w:rsidR="00DF128A" w:rsidRPr="008848C0">
        <w:rPr>
          <w:rFonts w:ascii="Times New Roman" w:hAnsi="Times New Roman" w:cs="Times New Roman"/>
          <w:iCs/>
          <w:sz w:val="20"/>
          <w:szCs w:val="20"/>
        </w:rPr>
        <w:t>:</w:t>
      </w:r>
      <w:r w:rsidR="00DF128A" w:rsidRPr="00622CAB">
        <w:rPr>
          <w:rFonts w:ascii="Times New Roman" w:hAnsi="Times New Roman" w:cs="Times New Roman"/>
          <w:i/>
          <w:iCs/>
          <w:sz w:val="20"/>
          <w:szCs w:val="20"/>
        </w:rPr>
        <w:t xml:space="preserve"> Černý Petr pro Brno. </w:t>
      </w:r>
      <w:r w:rsidR="00DF128A" w:rsidRPr="008848C0">
        <w:rPr>
          <w:rFonts w:ascii="Times New Roman" w:hAnsi="Times New Roman" w:cs="Times New Roman"/>
          <w:iCs/>
          <w:sz w:val="20"/>
          <w:szCs w:val="20"/>
        </w:rPr>
        <w:t xml:space="preserve">In: </w:t>
      </w:r>
      <w:r w:rsidRPr="008848C0">
        <w:rPr>
          <w:rFonts w:ascii="Times New Roman" w:hAnsi="Times New Roman" w:cs="Times New Roman"/>
          <w:iCs/>
          <w:sz w:val="20"/>
          <w:szCs w:val="20"/>
        </w:rPr>
        <w:t>Ekologický právní servis</w:t>
      </w:r>
      <w:r>
        <w:rPr>
          <w:rFonts w:ascii="Times New Roman" w:hAnsi="Times New Roman" w:cs="Times New Roman"/>
          <w:iCs/>
          <w:sz w:val="20"/>
          <w:szCs w:val="20"/>
        </w:rPr>
        <w:t>:</w:t>
      </w:r>
      <w:r w:rsidRPr="008848C0">
        <w:rPr>
          <w:rFonts w:ascii="Times New Roman" w:hAnsi="Times New Roman" w:cs="Times New Roman"/>
          <w:iCs/>
          <w:sz w:val="20"/>
          <w:szCs w:val="20"/>
        </w:rPr>
        <w:t xml:space="preserve"> </w:t>
      </w:r>
      <w:r w:rsidR="00DF128A" w:rsidRPr="00622CAB">
        <w:rPr>
          <w:rFonts w:ascii="Times New Roman" w:hAnsi="Times New Roman" w:cs="Times New Roman"/>
          <w:i/>
          <w:iCs/>
          <w:sz w:val="20"/>
          <w:szCs w:val="20"/>
        </w:rPr>
        <w:t xml:space="preserve">Příběh sedláka Rajtera od kolektivizace ke globalizaci. </w:t>
      </w:r>
      <w:r w:rsidR="00DF128A" w:rsidRPr="00A207FC">
        <w:rPr>
          <w:rFonts w:ascii="Times New Roman" w:hAnsi="Times New Roman" w:cs="Times New Roman"/>
          <w:iCs/>
          <w:sz w:val="20"/>
          <w:szCs w:val="20"/>
        </w:rPr>
        <w:t>Br</w:t>
      </w:r>
      <w:r w:rsidR="00A207FC">
        <w:rPr>
          <w:rFonts w:ascii="Times New Roman" w:hAnsi="Times New Roman" w:cs="Times New Roman"/>
          <w:iCs/>
          <w:sz w:val="20"/>
          <w:szCs w:val="20"/>
        </w:rPr>
        <w:t>no</w:t>
      </w:r>
      <w:r w:rsidR="00DF128A" w:rsidRPr="00622CAB">
        <w:rPr>
          <w:rFonts w:ascii="Times New Roman" w:hAnsi="Times New Roman" w:cs="Times New Roman"/>
          <w:i/>
          <w:iCs/>
          <w:sz w:val="20"/>
          <w:szCs w:val="20"/>
        </w:rPr>
        <w:t xml:space="preserve">. Dostupný online &lt;http://www.sedlakjan.cz/index-sedlak.php?cat=05.korp&amp;art=05.041&gt; [cit. 1. 4. 2007]. </w:t>
      </w:r>
    </w:p>
    <w:p w:rsidR="00DF128A" w:rsidRDefault="00A207FC" w:rsidP="007C7831">
      <w:pPr>
        <w:widowControl w:val="0"/>
        <w:spacing w:after="120" w:line="276" w:lineRule="auto"/>
        <w:jc w:val="both"/>
        <w:rPr>
          <w:rFonts w:ascii="Times New Roman" w:hAnsi="Times New Roman" w:cs="Times New Roman"/>
          <w:i/>
          <w:iCs/>
          <w:sz w:val="20"/>
          <w:szCs w:val="20"/>
        </w:rPr>
      </w:pPr>
      <w:r w:rsidRPr="00A207FC">
        <w:rPr>
          <w:rFonts w:ascii="Times New Roman" w:hAnsi="Times New Roman" w:cs="Times New Roman"/>
          <w:iCs/>
          <w:sz w:val="20"/>
          <w:szCs w:val="20"/>
        </w:rPr>
        <w:t>Rybáková</w:t>
      </w:r>
      <w:r w:rsidR="00DF128A" w:rsidRPr="00A207FC">
        <w:rPr>
          <w:rFonts w:ascii="Times New Roman" w:hAnsi="Times New Roman" w:cs="Times New Roman"/>
          <w:iCs/>
          <w:sz w:val="20"/>
          <w:szCs w:val="20"/>
        </w:rPr>
        <w:t>, D.</w:t>
      </w:r>
      <w:r>
        <w:rPr>
          <w:rFonts w:ascii="Times New Roman" w:hAnsi="Times New Roman" w:cs="Times New Roman"/>
          <w:iCs/>
          <w:sz w:val="20"/>
          <w:szCs w:val="20"/>
        </w:rPr>
        <w:t xml:space="preserve"> (2003)</w:t>
      </w:r>
      <w:r w:rsidR="00DF128A" w:rsidRPr="00A207FC">
        <w:rPr>
          <w:rFonts w:ascii="Times New Roman" w:hAnsi="Times New Roman" w:cs="Times New Roman"/>
          <w:iCs/>
          <w:sz w:val="20"/>
          <w:szCs w:val="20"/>
        </w:rPr>
        <w:t>:</w:t>
      </w:r>
      <w:r w:rsidR="00DF128A" w:rsidRPr="00622CAB">
        <w:rPr>
          <w:rFonts w:ascii="Times New Roman" w:hAnsi="Times New Roman" w:cs="Times New Roman"/>
          <w:i/>
          <w:iCs/>
          <w:sz w:val="20"/>
          <w:szCs w:val="20"/>
        </w:rPr>
        <w:t xml:space="preserve"> </w:t>
      </w:r>
      <w:r w:rsidR="00DF128A" w:rsidRPr="00A207FC">
        <w:rPr>
          <w:rFonts w:ascii="Times New Roman" w:hAnsi="Times New Roman" w:cs="Times New Roman"/>
          <w:iCs/>
          <w:sz w:val="20"/>
          <w:szCs w:val="20"/>
        </w:rPr>
        <w:t>Prostory po Flextronicsu obsadí Honeywell</w:t>
      </w:r>
      <w:r w:rsidR="00DF128A" w:rsidRPr="00622CAB">
        <w:rPr>
          <w:rFonts w:ascii="Times New Roman" w:hAnsi="Times New Roman" w:cs="Times New Roman"/>
          <w:i/>
          <w:iCs/>
          <w:sz w:val="20"/>
          <w:szCs w:val="20"/>
        </w:rPr>
        <w:t xml:space="preserve">. Podnikatelský týdeník Profit. 2003. Dostupný online &lt;http://www.profit.cz/archiv.php?iEd=200321&amp;iArt=2709&amp;iSearch&gt; [cit. 1. 4. 2007]. </w:t>
      </w:r>
    </w:p>
    <w:p w:rsidR="00A207FC" w:rsidRPr="00622CAB" w:rsidRDefault="00A207FC" w:rsidP="007C7831">
      <w:pPr>
        <w:widowControl w:val="0"/>
        <w:spacing w:after="120" w:line="276" w:lineRule="auto"/>
        <w:jc w:val="both"/>
        <w:rPr>
          <w:rFonts w:ascii="Times New Roman" w:hAnsi="Times New Roman" w:cs="Times New Roman"/>
          <w:i/>
          <w:iCs/>
          <w:sz w:val="20"/>
          <w:szCs w:val="20"/>
        </w:rPr>
      </w:pPr>
    </w:p>
    <w:p w:rsidR="00DF128A" w:rsidRPr="00622CAB" w:rsidRDefault="00DF128A" w:rsidP="007C7831">
      <w:pPr>
        <w:widowControl w:val="0"/>
        <w:spacing w:after="120" w:line="276" w:lineRule="auto"/>
        <w:jc w:val="both"/>
        <w:rPr>
          <w:rFonts w:ascii="Times New Roman" w:hAnsi="Times New Roman" w:cs="Times New Roman"/>
          <w:i/>
          <w:iCs/>
          <w:sz w:val="20"/>
          <w:szCs w:val="20"/>
        </w:rPr>
      </w:pPr>
      <w:r w:rsidRPr="00622CAB">
        <w:rPr>
          <w:rFonts w:ascii="Times New Roman" w:hAnsi="Times New Roman" w:cs="Times New Roman"/>
          <w:i/>
          <w:iCs/>
          <w:sz w:val="20"/>
          <w:szCs w:val="20"/>
        </w:rPr>
        <w:t>Brno – Černovická terasa. In: Industrial zone, Invest in the Eastern Europe, Invest in Brno</w:t>
      </w:r>
      <w:r w:rsidR="00A207FC" w:rsidRPr="00A207FC">
        <w:rPr>
          <w:rFonts w:ascii="Times New Roman" w:hAnsi="Times New Roman" w:cs="Times New Roman"/>
          <w:sz w:val="20"/>
          <w:szCs w:val="20"/>
        </w:rPr>
        <w:t xml:space="preserve"> </w:t>
      </w:r>
      <w:r w:rsidR="00A207FC" w:rsidRPr="00DF128A">
        <w:rPr>
          <w:rFonts w:ascii="Times New Roman" w:hAnsi="Times New Roman" w:cs="Times New Roman"/>
          <w:sz w:val="20"/>
          <w:szCs w:val="20"/>
        </w:rPr>
        <w:t xml:space="preserve">[on-line]. </w:t>
      </w:r>
      <w:r w:rsidRPr="00622CAB">
        <w:rPr>
          <w:rFonts w:ascii="Times New Roman" w:hAnsi="Times New Roman" w:cs="Times New Roman"/>
          <w:i/>
          <w:iCs/>
          <w:sz w:val="20"/>
          <w:szCs w:val="20"/>
        </w:rPr>
        <w:t xml:space="preserve"> </w:t>
      </w:r>
      <w:r w:rsidR="00A207FC" w:rsidRPr="00A207FC">
        <w:rPr>
          <w:rFonts w:ascii="Times New Roman" w:hAnsi="Times New Roman" w:cs="Times New Roman"/>
          <w:iCs/>
          <w:sz w:val="20"/>
          <w:szCs w:val="20"/>
        </w:rPr>
        <w:t>Krajský úřad Jihomoravského kraje a Statutární město Brno</w:t>
      </w:r>
      <w:r w:rsidR="00A207FC" w:rsidRPr="00622CAB">
        <w:rPr>
          <w:rFonts w:ascii="Times New Roman" w:hAnsi="Times New Roman" w:cs="Times New Roman"/>
          <w:i/>
          <w:iCs/>
          <w:sz w:val="20"/>
          <w:szCs w:val="20"/>
        </w:rPr>
        <w:t xml:space="preserve"> </w:t>
      </w:r>
      <w:r w:rsidR="00A207FC" w:rsidRPr="00DF128A">
        <w:rPr>
          <w:rFonts w:ascii="Times New Roman" w:hAnsi="Times New Roman" w:cs="Times New Roman"/>
          <w:sz w:val="20"/>
          <w:szCs w:val="20"/>
        </w:rPr>
        <w:t>[cit. 2</w:t>
      </w:r>
      <w:r w:rsidR="00A207FC">
        <w:rPr>
          <w:rFonts w:ascii="Times New Roman" w:hAnsi="Times New Roman" w:cs="Times New Roman"/>
          <w:sz w:val="20"/>
          <w:szCs w:val="20"/>
        </w:rPr>
        <w:t>0</w:t>
      </w:r>
      <w:r w:rsidR="00A207FC" w:rsidRPr="00DF128A">
        <w:rPr>
          <w:rFonts w:ascii="Times New Roman" w:hAnsi="Times New Roman" w:cs="Times New Roman"/>
          <w:sz w:val="20"/>
          <w:szCs w:val="20"/>
        </w:rPr>
        <w:t xml:space="preserve">. </w:t>
      </w:r>
      <w:r w:rsidR="00A207FC">
        <w:rPr>
          <w:rFonts w:ascii="Times New Roman" w:hAnsi="Times New Roman" w:cs="Times New Roman"/>
          <w:sz w:val="20"/>
          <w:szCs w:val="20"/>
        </w:rPr>
        <w:t>července</w:t>
      </w:r>
      <w:r w:rsidR="00A207FC" w:rsidRPr="00DF128A">
        <w:rPr>
          <w:rFonts w:ascii="Times New Roman" w:hAnsi="Times New Roman" w:cs="Times New Roman"/>
          <w:sz w:val="20"/>
          <w:szCs w:val="20"/>
        </w:rPr>
        <w:t xml:space="preserve"> 201</w:t>
      </w:r>
      <w:r w:rsidR="00A207FC">
        <w:rPr>
          <w:rFonts w:ascii="Times New Roman" w:hAnsi="Times New Roman" w:cs="Times New Roman"/>
          <w:sz w:val="20"/>
          <w:szCs w:val="20"/>
        </w:rPr>
        <w:t>1</w:t>
      </w:r>
      <w:r w:rsidR="00A207FC" w:rsidRPr="00DF128A">
        <w:rPr>
          <w:rFonts w:ascii="Times New Roman" w:hAnsi="Times New Roman" w:cs="Times New Roman"/>
          <w:sz w:val="20"/>
          <w:szCs w:val="20"/>
        </w:rPr>
        <w:t>]. Dostupn</w:t>
      </w:r>
      <w:r w:rsidR="00A207FC">
        <w:rPr>
          <w:rFonts w:ascii="Times New Roman" w:hAnsi="Times New Roman" w:cs="Times New Roman"/>
          <w:sz w:val="20"/>
          <w:szCs w:val="20"/>
        </w:rPr>
        <w:t>ý online</w:t>
      </w:r>
      <w:r w:rsidR="00A207FC" w:rsidRPr="00DF128A">
        <w:rPr>
          <w:rFonts w:ascii="Times New Roman" w:hAnsi="Times New Roman" w:cs="Times New Roman"/>
          <w:sz w:val="20"/>
          <w:szCs w:val="20"/>
        </w:rPr>
        <w:t xml:space="preserve"> &lt;</w:t>
      </w:r>
      <w:r w:rsidRPr="00A207FC">
        <w:rPr>
          <w:rFonts w:ascii="Times New Roman" w:hAnsi="Times New Roman" w:cs="Times New Roman"/>
          <w:iCs/>
          <w:sz w:val="20"/>
          <w:szCs w:val="20"/>
        </w:rPr>
        <w:t>http://www.invest-in-czech.cz/cz/zona/201.htm</w:t>
      </w:r>
      <w:r w:rsidRPr="00622CAB">
        <w:rPr>
          <w:rFonts w:ascii="Times New Roman" w:hAnsi="Times New Roman" w:cs="Times New Roman"/>
          <w:i/>
          <w:iCs/>
          <w:sz w:val="20"/>
          <w:szCs w:val="20"/>
        </w:rPr>
        <w:t xml:space="preserve">l&gt;. </w:t>
      </w:r>
    </w:p>
    <w:p w:rsidR="00DF128A" w:rsidRPr="00A207FC" w:rsidRDefault="00DF128A" w:rsidP="007C7831">
      <w:pPr>
        <w:widowControl w:val="0"/>
        <w:spacing w:after="120" w:line="276" w:lineRule="auto"/>
        <w:jc w:val="both"/>
        <w:rPr>
          <w:rFonts w:ascii="Times New Roman" w:hAnsi="Times New Roman" w:cs="Times New Roman"/>
          <w:iCs/>
          <w:sz w:val="20"/>
          <w:szCs w:val="20"/>
        </w:rPr>
      </w:pPr>
      <w:r w:rsidRPr="00622CAB">
        <w:rPr>
          <w:rFonts w:ascii="Times New Roman" w:hAnsi="Times New Roman" w:cs="Times New Roman"/>
          <w:i/>
          <w:iCs/>
          <w:sz w:val="20"/>
          <w:szCs w:val="20"/>
        </w:rPr>
        <w:t>Historie Flextronics Design, s.r.o.</w:t>
      </w:r>
      <w:r w:rsidR="00A207FC">
        <w:rPr>
          <w:rFonts w:ascii="Times New Roman" w:hAnsi="Times New Roman" w:cs="Times New Roman"/>
          <w:i/>
          <w:iCs/>
          <w:sz w:val="20"/>
          <w:szCs w:val="20"/>
        </w:rPr>
        <w:t xml:space="preserve"> </w:t>
      </w:r>
      <w:r w:rsidR="00A207FC" w:rsidRPr="00DF128A">
        <w:rPr>
          <w:rFonts w:ascii="Times New Roman" w:hAnsi="Times New Roman" w:cs="Times New Roman"/>
          <w:sz w:val="20"/>
          <w:szCs w:val="20"/>
        </w:rPr>
        <w:t xml:space="preserve">[on-line]. </w:t>
      </w:r>
      <w:r w:rsidRPr="00A207FC">
        <w:rPr>
          <w:rFonts w:ascii="Times New Roman" w:hAnsi="Times New Roman" w:cs="Times New Roman"/>
          <w:iCs/>
          <w:sz w:val="20"/>
          <w:szCs w:val="20"/>
        </w:rPr>
        <w:t xml:space="preserve">Flextronics International, 2006. </w:t>
      </w:r>
      <w:r w:rsidR="00A207FC" w:rsidRPr="00DF128A">
        <w:rPr>
          <w:rFonts w:ascii="Times New Roman" w:hAnsi="Times New Roman" w:cs="Times New Roman"/>
          <w:sz w:val="20"/>
          <w:szCs w:val="20"/>
        </w:rPr>
        <w:t>[cit. 2</w:t>
      </w:r>
      <w:r w:rsidR="00A207FC">
        <w:rPr>
          <w:rFonts w:ascii="Times New Roman" w:hAnsi="Times New Roman" w:cs="Times New Roman"/>
          <w:sz w:val="20"/>
          <w:szCs w:val="20"/>
        </w:rPr>
        <w:t>0</w:t>
      </w:r>
      <w:r w:rsidR="00A207FC" w:rsidRPr="00DF128A">
        <w:rPr>
          <w:rFonts w:ascii="Times New Roman" w:hAnsi="Times New Roman" w:cs="Times New Roman"/>
          <w:sz w:val="20"/>
          <w:szCs w:val="20"/>
        </w:rPr>
        <w:t xml:space="preserve">. </w:t>
      </w:r>
      <w:r w:rsidR="00A207FC">
        <w:rPr>
          <w:rFonts w:ascii="Times New Roman" w:hAnsi="Times New Roman" w:cs="Times New Roman"/>
          <w:sz w:val="20"/>
          <w:szCs w:val="20"/>
        </w:rPr>
        <w:t>července</w:t>
      </w:r>
      <w:r w:rsidR="00A207FC" w:rsidRPr="00DF128A">
        <w:rPr>
          <w:rFonts w:ascii="Times New Roman" w:hAnsi="Times New Roman" w:cs="Times New Roman"/>
          <w:sz w:val="20"/>
          <w:szCs w:val="20"/>
        </w:rPr>
        <w:t xml:space="preserve"> 201</w:t>
      </w:r>
      <w:r w:rsidR="00A207FC">
        <w:rPr>
          <w:rFonts w:ascii="Times New Roman" w:hAnsi="Times New Roman" w:cs="Times New Roman"/>
          <w:sz w:val="20"/>
          <w:szCs w:val="20"/>
        </w:rPr>
        <w:t>1</w:t>
      </w:r>
      <w:r w:rsidR="00A207FC" w:rsidRPr="00DF128A">
        <w:rPr>
          <w:rFonts w:ascii="Times New Roman" w:hAnsi="Times New Roman" w:cs="Times New Roman"/>
          <w:sz w:val="20"/>
          <w:szCs w:val="20"/>
        </w:rPr>
        <w:t>]. Dostupn</w:t>
      </w:r>
      <w:r w:rsidR="00A207FC">
        <w:rPr>
          <w:rFonts w:ascii="Times New Roman" w:hAnsi="Times New Roman" w:cs="Times New Roman"/>
          <w:sz w:val="20"/>
          <w:szCs w:val="20"/>
        </w:rPr>
        <w:t>ý online</w:t>
      </w:r>
      <w:r w:rsidR="00A207FC" w:rsidRPr="00DF128A">
        <w:rPr>
          <w:rFonts w:ascii="Times New Roman" w:hAnsi="Times New Roman" w:cs="Times New Roman"/>
          <w:sz w:val="20"/>
          <w:szCs w:val="20"/>
        </w:rPr>
        <w:t xml:space="preserve"> </w:t>
      </w:r>
      <w:r w:rsidRPr="00A207FC">
        <w:rPr>
          <w:rFonts w:ascii="Times New Roman" w:hAnsi="Times New Roman" w:cs="Times New Roman"/>
          <w:iCs/>
          <w:sz w:val="20"/>
          <w:szCs w:val="20"/>
        </w:rPr>
        <w:t>&lt;http:</w:t>
      </w:r>
      <w:r w:rsidR="00A207FC">
        <w:rPr>
          <w:rFonts w:ascii="Times New Roman" w:hAnsi="Times New Roman" w:cs="Times New Roman"/>
          <w:iCs/>
          <w:sz w:val="20"/>
          <w:szCs w:val="20"/>
        </w:rPr>
        <w:t>//www.flextronics.cz/01_02.php&gt;</w:t>
      </w:r>
      <w:r w:rsidRPr="00A207FC">
        <w:rPr>
          <w:rFonts w:ascii="Times New Roman" w:hAnsi="Times New Roman" w:cs="Times New Roman"/>
          <w:iCs/>
          <w:sz w:val="20"/>
          <w:szCs w:val="20"/>
        </w:rPr>
        <w:t xml:space="preserve">. </w:t>
      </w:r>
    </w:p>
    <w:p w:rsidR="00DF128A" w:rsidRPr="00A207FC" w:rsidRDefault="00A207FC" w:rsidP="007C7831">
      <w:pPr>
        <w:widowControl w:val="0"/>
        <w:spacing w:after="120" w:line="276" w:lineRule="auto"/>
        <w:jc w:val="both"/>
        <w:rPr>
          <w:rFonts w:ascii="Times New Roman" w:hAnsi="Times New Roman" w:cs="Times New Roman"/>
          <w:iCs/>
          <w:sz w:val="20"/>
          <w:szCs w:val="20"/>
        </w:rPr>
      </w:pPr>
      <w:r>
        <w:rPr>
          <w:rFonts w:ascii="Times New Roman" w:hAnsi="Times New Roman" w:cs="Times New Roman"/>
          <w:i/>
          <w:iCs/>
          <w:sz w:val="20"/>
          <w:szCs w:val="20"/>
        </w:rPr>
        <w:t>Global locations</w:t>
      </w:r>
      <w:r w:rsidRPr="00A207FC">
        <w:rPr>
          <w:rFonts w:ascii="Times New Roman" w:hAnsi="Times New Roman" w:cs="Times New Roman"/>
          <w:sz w:val="20"/>
          <w:szCs w:val="20"/>
        </w:rPr>
        <w:t xml:space="preserve"> </w:t>
      </w:r>
      <w:r w:rsidRPr="00DF128A">
        <w:rPr>
          <w:rFonts w:ascii="Times New Roman" w:hAnsi="Times New Roman" w:cs="Times New Roman"/>
          <w:sz w:val="20"/>
          <w:szCs w:val="20"/>
        </w:rPr>
        <w:t>[on-line].</w:t>
      </w:r>
      <w:r w:rsidR="00DF128A" w:rsidRPr="00622CAB">
        <w:rPr>
          <w:rFonts w:ascii="Times New Roman" w:hAnsi="Times New Roman" w:cs="Times New Roman"/>
          <w:i/>
          <w:iCs/>
          <w:sz w:val="20"/>
          <w:szCs w:val="20"/>
        </w:rPr>
        <w:t xml:space="preserve"> </w:t>
      </w:r>
      <w:r w:rsidR="00DF128A" w:rsidRPr="00A207FC">
        <w:rPr>
          <w:rFonts w:ascii="Times New Roman" w:hAnsi="Times New Roman" w:cs="Times New Roman"/>
          <w:iCs/>
          <w:sz w:val="20"/>
          <w:szCs w:val="20"/>
        </w:rPr>
        <w:t xml:space="preserve">Flextronics International, 2006. </w:t>
      </w:r>
      <w:r w:rsidRPr="00DF128A">
        <w:rPr>
          <w:rFonts w:ascii="Times New Roman" w:hAnsi="Times New Roman" w:cs="Times New Roman"/>
          <w:sz w:val="20"/>
          <w:szCs w:val="20"/>
        </w:rPr>
        <w:t>[cit. 2</w:t>
      </w:r>
      <w:r>
        <w:rPr>
          <w:rFonts w:ascii="Times New Roman" w:hAnsi="Times New Roman" w:cs="Times New Roman"/>
          <w:sz w:val="20"/>
          <w:szCs w:val="20"/>
        </w:rPr>
        <w:t>0</w:t>
      </w:r>
      <w:r w:rsidRPr="00DF128A">
        <w:rPr>
          <w:rFonts w:ascii="Times New Roman" w:hAnsi="Times New Roman" w:cs="Times New Roman"/>
          <w:sz w:val="20"/>
          <w:szCs w:val="20"/>
        </w:rPr>
        <w:t xml:space="preserve">. </w:t>
      </w:r>
      <w:r>
        <w:rPr>
          <w:rFonts w:ascii="Times New Roman" w:hAnsi="Times New Roman" w:cs="Times New Roman"/>
          <w:sz w:val="20"/>
          <w:szCs w:val="20"/>
        </w:rPr>
        <w:t>července</w:t>
      </w:r>
      <w:r w:rsidRPr="00DF128A">
        <w:rPr>
          <w:rFonts w:ascii="Times New Roman" w:hAnsi="Times New Roman" w:cs="Times New Roman"/>
          <w:sz w:val="20"/>
          <w:szCs w:val="20"/>
        </w:rPr>
        <w:t xml:space="preserve"> 201</w:t>
      </w:r>
      <w:r>
        <w:rPr>
          <w:rFonts w:ascii="Times New Roman" w:hAnsi="Times New Roman" w:cs="Times New Roman"/>
          <w:sz w:val="20"/>
          <w:szCs w:val="20"/>
        </w:rPr>
        <w:t>1</w:t>
      </w:r>
      <w:r w:rsidRPr="00DF128A">
        <w:rPr>
          <w:rFonts w:ascii="Times New Roman" w:hAnsi="Times New Roman" w:cs="Times New Roman"/>
          <w:sz w:val="20"/>
          <w:szCs w:val="20"/>
        </w:rPr>
        <w:t>]. Dostupn</w:t>
      </w:r>
      <w:r>
        <w:rPr>
          <w:rFonts w:ascii="Times New Roman" w:hAnsi="Times New Roman" w:cs="Times New Roman"/>
          <w:sz w:val="20"/>
          <w:szCs w:val="20"/>
        </w:rPr>
        <w:t>ý online</w:t>
      </w:r>
      <w:r w:rsidRPr="00DF128A">
        <w:rPr>
          <w:rFonts w:ascii="Times New Roman" w:hAnsi="Times New Roman" w:cs="Times New Roman"/>
          <w:sz w:val="20"/>
          <w:szCs w:val="20"/>
        </w:rPr>
        <w:t xml:space="preserve"> </w:t>
      </w:r>
      <w:r w:rsidR="00DF128A" w:rsidRPr="00A207FC">
        <w:rPr>
          <w:rFonts w:ascii="Times New Roman" w:hAnsi="Times New Roman" w:cs="Times New Roman"/>
          <w:iCs/>
          <w:sz w:val="20"/>
          <w:szCs w:val="20"/>
        </w:rPr>
        <w:t xml:space="preserve">&lt;http://www.flextronics.com/en/AboutUs/GlobalLocations/tabid/187/Default.aspx&gt;. </w:t>
      </w:r>
    </w:p>
    <w:p w:rsidR="00DF128A" w:rsidRPr="00A207FC" w:rsidRDefault="00DF128A" w:rsidP="007C7831">
      <w:pPr>
        <w:widowControl w:val="0"/>
        <w:spacing w:after="120" w:line="276" w:lineRule="auto"/>
        <w:jc w:val="both"/>
        <w:rPr>
          <w:rFonts w:ascii="Times New Roman" w:hAnsi="Times New Roman" w:cs="Times New Roman"/>
          <w:iCs/>
          <w:sz w:val="20"/>
          <w:szCs w:val="20"/>
        </w:rPr>
      </w:pPr>
      <w:r w:rsidRPr="00622CAB">
        <w:rPr>
          <w:rFonts w:ascii="Times New Roman" w:hAnsi="Times New Roman" w:cs="Times New Roman"/>
          <w:i/>
          <w:iCs/>
          <w:sz w:val="20"/>
          <w:szCs w:val="20"/>
        </w:rPr>
        <w:t>Industrial parks</w:t>
      </w:r>
      <w:r w:rsidR="00A207FC">
        <w:rPr>
          <w:rFonts w:ascii="Times New Roman" w:hAnsi="Times New Roman" w:cs="Times New Roman"/>
          <w:i/>
          <w:iCs/>
          <w:sz w:val="20"/>
          <w:szCs w:val="20"/>
        </w:rPr>
        <w:t xml:space="preserve"> </w:t>
      </w:r>
      <w:r w:rsidR="00A207FC" w:rsidRPr="00DF128A">
        <w:rPr>
          <w:rFonts w:ascii="Times New Roman" w:hAnsi="Times New Roman" w:cs="Times New Roman"/>
          <w:sz w:val="20"/>
          <w:szCs w:val="20"/>
        </w:rPr>
        <w:t>[on-line].</w:t>
      </w:r>
      <w:r w:rsidRPr="00622CAB">
        <w:rPr>
          <w:rFonts w:ascii="Times New Roman" w:hAnsi="Times New Roman" w:cs="Times New Roman"/>
          <w:i/>
          <w:iCs/>
          <w:sz w:val="20"/>
          <w:szCs w:val="20"/>
        </w:rPr>
        <w:t xml:space="preserve"> </w:t>
      </w:r>
      <w:r w:rsidRPr="00A207FC">
        <w:rPr>
          <w:rFonts w:ascii="Times New Roman" w:hAnsi="Times New Roman" w:cs="Times New Roman"/>
          <w:iCs/>
          <w:sz w:val="20"/>
          <w:szCs w:val="20"/>
        </w:rPr>
        <w:t xml:space="preserve">Flextronics International, 2006. </w:t>
      </w:r>
      <w:r w:rsidR="00A207FC" w:rsidRPr="00DF128A">
        <w:rPr>
          <w:rFonts w:ascii="Times New Roman" w:hAnsi="Times New Roman" w:cs="Times New Roman"/>
          <w:sz w:val="20"/>
          <w:szCs w:val="20"/>
        </w:rPr>
        <w:t>[cit. 2</w:t>
      </w:r>
      <w:r w:rsidR="00A207FC">
        <w:rPr>
          <w:rFonts w:ascii="Times New Roman" w:hAnsi="Times New Roman" w:cs="Times New Roman"/>
          <w:sz w:val="20"/>
          <w:szCs w:val="20"/>
        </w:rPr>
        <w:t>0</w:t>
      </w:r>
      <w:r w:rsidR="00A207FC" w:rsidRPr="00DF128A">
        <w:rPr>
          <w:rFonts w:ascii="Times New Roman" w:hAnsi="Times New Roman" w:cs="Times New Roman"/>
          <w:sz w:val="20"/>
          <w:szCs w:val="20"/>
        </w:rPr>
        <w:t xml:space="preserve">. </w:t>
      </w:r>
      <w:r w:rsidR="00A207FC">
        <w:rPr>
          <w:rFonts w:ascii="Times New Roman" w:hAnsi="Times New Roman" w:cs="Times New Roman"/>
          <w:sz w:val="20"/>
          <w:szCs w:val="20"/>
        </w:rPr>
        <w:t>července</w:t>
      </w:r>
      <w:r w:rsidR="00A207FC" w:rsidRPr="00DF128A">
        <w:rPr>
          <w:rFonts w:ascii="Times New Roman" w:hAnsi="Times New Roman" w:cs="Times New Roman"/>
          <w:sz w:val="20"/>
          <w:szCs w:val="20"/>
        </w:rPr>
        <w:t xml:space="preserve"> 201</w:t>
      </w:r>
      <w:r w:rsidR="00A207FC">
        <w:rPr>
          <w:rFonts w:ascii="Times New Roman" w:hAnsi="Times New Roman" w:cs="Times New Roman"/>
          <w:sz w:val="20"/>
          <w:szCs w:val="20"/>
        </w:rPr>
        <w:t>1</w:t>
      </w:r>
      <w:r w:rsidR="00A207FC" w:rsidRPr="00DF128A">
        <w:rPr>
          <w:rFonts w:ascii="Times New Roman" w:hAnsi="Times New Roman" w:cs="Times New Roman"/>
          <w:sz w:val="20"/>
          <w:szCs w:val="20"/>
        </w:rPr>
        <w:t>]. Dostupn</w:t>
      </w:r>
      <w:r w:rsidR="00A207FC">
        <w:rPr>
          <w:rFonts w:ascii="Times New Roman" w:hAnsi="Times New Roman" w:cs="Times New Roman"/>
          <w:sz w:val="20"/>
          <w:szCs w:val="20"/>
        </w:rPr>
        <w:t>ý online</w:t>
      </w:r>
      <w:r w:rsidR="00A207FC" w:rsidRPr="00DF128A">
        <w:rPr>
          <w:rFonts w:ascii="Times New Roman" w:hAnsi="Times New Roman" w:cs="Times New Roman"/>
          <w:sz w:val="20"/>
          <w:szCs w:val="20"/>
        </w:rPr>
        <w:t xml:space="preserve"> </w:t>
      </w:r>
      <w:r w:rsidRPr="00A207FC">
        <w:rPr>
          <w:rFonts w:ascii="Times New Roman" w:hAnsi="Times New Roman" w:cs="Times New Roman"/>
          <w:iCs/>
          <w:sz w:val="20"/>
          <w:szCs w:val="20"/>
        </w:rPr>
        <w:t>&lt;http://www.flextronics.com/en/AboutUs/Industr</w:t>
      </w:r>
      <w:r w:rsidR="00A207FC">
        <w:rPr>
          <w:rFonts w:ascii="Times New Roman" w:hAnsi="Times New Roman" w:cs="Times New Roman"/>
          <w:iCs/>
          <w:sz w:val="20"/>
          <w:szCs w:val="20"/>
        </w:rPr>
        <w:t>ialParks/tabid/64/Default.aspx&gt;</w:t>
      </w:r>
      <w:r w:rsidRPr="00A207FC">
        <w:rPr>
          <w:rFonts w:ascii="Times New Roman" w:hAnsi="Times New Roman" w:cs="Times New Roman"/>
          <w:iCs/>
          <w:sz w:val="20"/>
          <w:szCs w:val="20"/>
        </w:rPr>
        <w:t xml:space="preserve">. </w:t>
      </w:r>
    </w:p>
    <w:p w:rsidR="00DF128A" w:rsidRPr="00A207FC" w:rsidRDefault="00DF128A" w:rsidP="007C7831">
      <w:pPr>
        <w:widowControl w:val="0"/>
        <w:spacing w:after="120" w:line="276" w:lineRule="auto"/>
        <w:jc w:val="both"/>
        <w:rPr>
          <w:rFonts w:ascii="Times New Roman" w:hAnsi="Times New Roman" w:cs="Times New Roman"/>
          <w:iCs/>
          <w:sz w:val="20"/>
          <w:szCs w:val="20"/>
        </w:rPr>
      </w:pPr>
      <w:r w:rsidRPr="00622CAB">
        <w:rPr>
          <w:rFonts w:ascii="Times New Roman" w:hAnsi="Times New Roman" w:cs="Times New Roman"/>
          <w:i/>
          <w:iCs/>
          <w:sz w:val="20"/>
          <w:szCs w:val="20"/>
        </w:rPr>
        <w:t>Microsoft Případové studie: Flextronics International, Ltd.</w:t>
      </w:r>
      <w:r w:rsidR="00A207FC" w:rsidRPr="00A207FC">
        <w:rPr>
          <w:rFonts w:ascii="Times New Roman" w:hAnsi="Times New Roman" w:cs="Times New Roman"/>
          <w:sz w:val="20"/>
          <w:szCs w:val="20"/>
        </w:rPr>
        <w:t xml:space="preserve"> </w:t>
      </w:r>
      <w:r w:rsidR="00A207FC" w:rsidRPr="00DF128A">
        <w:rPr>
          <w:rFonts w:ascii="Times New Roman" w:hAnsi="Times New Roman" w:cs="Times New Roman"/>
          <w:sz w:val="20"/>
          <w:szCs w:val="20"/>
        </w:rPr>
        <w:t xml:space="preserve">[on-line]. </w:t>
      </w:r>
      <w:r w:rsidRPr="00A207FC">
        <w:rPr>
          <w:rFonts w:ascii="Times New Roman" w:hAnsi="Times New Roman" w:cs="Times New Roman"/>
          <w:iCs/>
          <w:sz w:val="20"/>
          <w:szCs w:val="20"/>
        </w:rPr>
        <w:t xml:space="preserve">Microsoft Corporation, 2003. </w:t>
      </w:r>
      <w:r w:rsidR="00A207FC" w:rsidRPr="00DF128A">
        <w:rPr>
          <w:rFonts w:ascii="Times New Roman" w:hAnsi="Times New Roman" w:cs="Times New Roman"/>
          <w:sz w:val="20"/>
          <w:szCs w:val="20"/>
        </w:rPr>
        <w:t>[cit. 2</w:t>
      </w:r>
      <w:r w:rsidR="00A207FC">
        <w:rPr>
          <w:rFonts w:ascii="Times New Roman" w:hAnsi="Times New Roman" w:cs="Times New Roman"/>
          <w:sz w:val="20"/>
          <w:szCs w:val="20"/>
        </w:rPr>
        <w:t>0</w:t>
      </w:r>
      <w:r w:rsidR="00A207FC" w:rsidRPr="00DF128A">
        <w:rPr>
          <w:rFonts w:ascii="Times New Roman" w:hAnsi="Times New Roman" w:cs="Times New Roman"/>
          <w:sz w:val="20"/>
          <w:szCs w:val="20"/>
        </w:rPr>
        <w:t xml:space="preserve">. </w:t>
      </w:r>
      <w:r w:rsidR="00A207FC">
        <w:rPr>
          <w:rFonts w:ascii="Times New Roman" w:hAnsi="Times New Roman" w:cs="Times New Roman"/>
          <w:sz w:val="20"/>
          <w:szCs w:val="20"/>
        </w:rPr>
        <w:t>července</w:t>
      </w:r>
      <w:r w:rsidR="00A207FC" w:rsidRPr="00DF128A">
        <w:rPr>
          <w:rFonts w:ascii="Times New Roman" w:hAnsi="Times New Roman" w:cs="Times New Roman"/>
          <w:sz w:val="20"/>
          <w:szCs w:val="20"/>
        </w:rPr>
        <w:t xml:space="preserve"> 201</w:t>
      </w:r>
      <w:r w:rsidR="00A207FC">
        <w:rPr>
          <w:rFonts w:ascii="Times New Roman" w:hAnsi="Times New Roman" w:cs="Times New Roman"/>
          <w:sz w:val="20"/>
          <w:szCs w:val="20"/>
        </w:rPr>
        <w:t>1</w:t>
      </w:r>
      <w:r w:rsidR="00A207FC" w:rsidRPr="00DF128A">
        <w:rPr>
          <w:rFonts w:ascii="Times New Roman" w:hAnsi="Times New Roman" w:cs="Times New Roman"/>
          <w:sz w:val="20"/>
          <w:szCs w:val="20"/>
        </w:rPr>
        <w:t>]. Dostupn</w:t>
      </w:r>
      <w:r w:rsidR="00A207FC">
        <w:rPr>
          <w:rFonts w:ascii="Times New Roman" w:hAnsi="Times New Roman" w:cs="Times New Roman"/>
          <w:sz w:val="20"/>
          <w:szCs w:val="20"/>
        </w:rPr>
        <w:t>ý online</w:t>
      </w:r>
      <w:r w:rsidR="00A207FC" w:rsidRPr="00DF128A">
        <w:rPr>
          <w:rFonts w:ascii="Times New Roman" w:hAnsi="Times New Roman" w:cs="Times New Roman"/>
          <w:sz w:val="20"/>
          <w:szCs w:val="20"/>
        </w:rPr>
        <w:t xml:space="preserve"> </w:t>
      </w:r>
      <w:r w:rsidRPr="00A207FC">
        <w:rPr>
          <w:rFonts w:ascii="Times New Roman" w:hAnsi="Times New Roman" w:cs="Times New Roman"/>
          <w:iCs/>
          <w:sz w:val="20"/>
          <w:szCs w:val="20"/>
        </w:rPr>
        <w:t xml:space="preserve">&lt;http://www.microsoft.com/cze/casestudies/Flextronics.mspx#top&gt;. </w:t>
      </w:r>
    </w:p>
    <w:p w:rsidR="00DF128A" w:rsidRPr="00A207FC" w:rsidRDefault="00DF128A" w:rsidP="007C7831">
      <w:pPr>
        <w:widowControl w:val="0"/>
        <w:spacing w:after="120" w:line="276" w:lineRule="auto"/>
        <w:jc w:val="both"/>
        <w:rPr>
          <w:rFonts w:ascii="Times New Roman" w:hAnsi="Times New Roman" w:cs="Times New Roman"/>
          <w:iCs/>
          <w:sz w:val="20"/>
          <w:szCs w:val="20"/>
        </w:rPr>
      </w:pPr>
      <w:r w:rsidRPr="00622CAB">
        <w:rPr>
          <w:rFonts w:ascii="Times New Roman" w:hAnsi="Times New Roman" w:cs="Times New Roman"/>
          <w:i/>
          <w:iCs/>
          <w:sz w:val="20"/>
          <w:szCs w:val="20"/>
        </w:rPr>
        <w:t xml:space="preserve">O společnosti Flextronics. </w:t>
      </w:r>
      <w:r w:rsidRPr="00A207FC">
        <w:rPr>
          <w:rFonts w:ascii="Times New Roman" w:hAnsi="Times New Roman" w:cs="Times New Roman"/>
          <w:iCs/>
          <w:sz w:val="20"/>
          <w:szCs w:val="20"/>
        </w:rPr>
        <w:t xml:space="preserve">Flextronics International, 2006. </w:t>
      </w:r>
      <w:r w:rsidR="00A207FC" w:rsidRPr="00DF128A">
        <w:rPr>
          <w:rFonts w:ascii="Times New Roman" w:hAnsi="Times New Roman" w:cs="Times New Roman"/>
          <w:sz w:val="20"/>
          <w:szCs w:val="20"/>
        </w:rPr>
        <w:t>[cit. 2</w:t>
      </w:r>
      <w:r w:rsidR="00A207FC">
        <w:rPr>
          <w:rFonts w:ascii="Times New Roman" w:hAnsi="Times New Roman" w:cs="Times New Roman"/>
          <w:sz w:val="20"/>
          <w:szCs w:val="20"/>
        </w:rPr>
        <w:t>0</w:t>
      </w:r>
      <w:r w:rsidR="00A207FC" w:rsidRPr="00DF128A">
        <w:rPr>
          <w:rFonts w:ascii="Times New Roman" w:hAnsi="Times New Roman" w:cs="Times New Roman"/>
          <w:sz w:val="20"/>
          <w:szCs w:val="20"/>
        </w:rPr>
        <w:t xml:space="preserve">. </w:t>
      </w:r>
      <w:r w:rsidR="00A207FC">
        <w:rPr>
          <w:rFonts w:ascii="Times New Roman" w:hAnsi="Times New Roman" w:cs="Times New Roman"/>
          <w:sz w:val="20"/>
          <w:szCs w:val="20"/>
        </w:rPr>
        <w:t>července</w:t>
      </w:r>
      <w:r w:rsidR="00A207FC" w:rsidRPr="00DF128A">
        <w:rPr>
          <w:rFonts w:ascii="Times New Roman" w:hAnsi="Times New Roman" w:cs="Times New Roman"/>
          <w:sz w:val="20"/>
          <w:szCs w:val="20"/>
        </w:rPr>
        <w:t xml:space="preserve"> 201</w:t>
      </w:r>
      <w:r w:rsidR="00A207FC">
        <w:rPr>
          <w:rFonts w:ascii="Times New Roman" w:hAnsi="Times New Roman" w:cs="Times New Roman"/>
          <w:sz w:val="20"/>
          <w:szCs w:val="20"/>
        </w:rPr>
        <w:t>1</w:t>
      </w:r>
      <w:r w:rsidR="00A207FC" w:rsidRPr="00DF128A">
        <w:rPr>
          <w:rFonts w:ascii="Times New Roman" w:hAnsi="Times New Roman" w:cs="Times New Roman"/>
          <w:sz w:val="20"/>
          <w:szCs w:val="20"/>
        </w:rPr>
        <w:t>]. Dostupn</w:t>
      </w:r>
      <w:r w:rsidR="00A207FC">
        <w:rPr>
          <w:rFonts w:ascii="Times New Roman" w:hAnsi="Times New Roman" w:cs="Times New Roman"/>
          <w:sz w:val="20"/>
          <w:szCs w:val="20"/>
        </w:rPr>
        <w:t>ý online</w:t>
      </w:r>
      <w:r w:rsidR="00A207FC" w:rsidRPr="00DF128A">
        <w:rPr>
          <w:rFonts w:ascii="Times New Roman" w:hAnsi="Times New Roman" w:cs="Times New Roman"/>
          <w:sz w:val="20"/>
          <w:szCs w:val="20"/>
        </w:rPr>
        <w:t xml:space="preserve"> </w:t>
      </w:r>
      <w:r w:rsidRPr="00A207FC">
        <w:rPr>
          <w:rFonts w:ascii="Times New Roman" w:hAnsi="Times New Roman" w:cs="Times New Roman"/>
          <w:iCs/>
          <w:sz w:val="20"/>
          <w:szCs w:val="20"/>
        </w:rPr>
        <w:t>&lt;</w:t>
      </w:r>
      <w:hyperlink r:id="rId17" w:history="1">
        <w:r w:rsidRPr="00A207FC">
          <w:rPr>
            <w:rFonts w:ascii="Times New Roman" w:hAnsi="Times New Roman" w:cs="Times New Roman"/>
            <w:iCs/>
            <w:sz w:val="20"/>
            <w:szCs w:val="20"/>
          </w:rPr>
          <w:t>http://www.flextronics.cz/index.php</w:t>
        </w:r>
      </w:hyperlink>
      <w:r w:rsidR="00A207FC">
        <w:rPr>
          <w:rFonts w:ascii="Times New Roman" w:hAnsi="Times New Roman" w:cs="Times New Roman"/>
          <w:iCs/>
          <w:sz w:val="20"/>
          <w:szCs w:val="20"/>
        </w:rPr>
        <w:t>&gt;</w:t>
      </w:r>
      <w:r w:rsidRPr="00A207FC">
        <w:rPr>
          <w:rFonts w:ascii="Times New Roman" w:hAnsi="Times New Roman" w:cs="Times New Roman"/>
          <w:iCs/>
          <w:sz w:val="20"/>
          <w:szCs w:val="20"/>
        </w:rPr>
        <w:t xml:space="preserve">.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eastAsia="Times New Roman" w:hAnsi="Times New Roman" w:cs="Times New Roman"/>
          <w:b/>
          <w:bCs/>
          <w:kern w:val="32"/>
          <w:sz w:val="24"/>
          <w:szCs w:val="24"/>
          <w:u w:val="single"/>
          <w:lang w:eastAsia="cs-CZ"/>
        </w:rPr>
      </w:pPr>
      <w:r w:rsidRPr="00DF128A">
        <w:rPr>
          <w:rFonts w:ascii="Times New Roman" w:hAnsi="Times New Roman" w:cs="Times New Roman"/>
          <w:sz w:val="24"/>
          <w:szCs w:val="24"/>
          <w:u w:val="single"/>
        </w:rPr>
        <w:br w:type="page"/>
      </w:r>
    </w:p>
    <w:p w:rsidR="00DF128A" w:rsidRPr="00A207FC" w:rsidRDefault="00A207FC" w:rsidP="009B5078">
      <w:pPr>
        <w:pStyle w:val="Nadpis1"/>
        <w:ind w:firstLine="0"/>
      </w:pPr>
      <w:bookmarkStart w:id="15" w:name="_Toc331023959"/>
      <w:r w:rsidRPr="00A207FC">
        <w:lastRenderedPageBreak/>
        <w:t>GLOBALIZACE MALOOBCHODU V ČESKÉ REPUBLICE</w:t>
      </w:r>
      <w:bookmarkEnd w:id="15"/>
    </w:p>
    <w:p w:rsidR="00DF128A" w:rsidRPr="00DF128A" w:rsidRDefault="00DF128A" w:rsidP="00F81FFE">
      <w:pPr>
        <w:widowControl w:val="0"/>
        <w:spacing w:line="276" w:lineRule="auto"/>
        <w:ind w:firstLine="709"/>
        <w:jc w:val="center"/>
        <w:rPr>
          <w:rFonts w:ascii="Times New Roman" w:hAnsi="Times New Roman" w:cs="Times New Roman"/>
          <w:sz w:val="24"/>
          <w:szCs w:val="24"/>
        </w:rPr>
      </w:pPr>
    </w:p>
    <w:p w:rsidR="00DF128A" w:rsidRPr="00F81FFE" w:rsidRDefault="00DF128A" w:rsidP="00F81FFE">
      <w:pPr>
        <w:pStyle w:val="Nadpis2"/>
        <w:keepNext w:val="0"/>
        <w:widowControl w:val="0"/>
        <w:numPr>
          <w:ilvl w:val="0"/>
          <w:numId w:val="0"/>
        </w:numPr>
        <w:spacing w:before="0" w:after="0" w:line="276" w:lineRule="auto"/>
        <w:ind w:left="576" w:hanging="576"/>
        <w:jc w:val="center"/>
        <w:rPr>
          <w:rFonts w:ascii="Times New Roman" w:hAnsi="Times New Roman" w:cs="Times New Roman"/>
          <w:b w:val="0"/>
          <w:sz w:val="24"/>
          <w:szCs w:val="24"/>
        </w:rPr>
      </w:pPr>
      <w:bookmarkStart w:id="16" w:name="_Toc301255433"/>
      <w:bookmarkStart w:id="17" w:name="_Toc331023960"/>
      <w:r w:rsidRPr="00F81FFE">
        <w:rPr>
          <w:rFonts w:ascii="Times New Roman" w:hAnsi="Times New Roman" w:cs="Times New Roman"/>
          <w:b w:val="0"/>
          <w:sz w:val="24"/>
          <w:szCs w:val="24"/>
        </w:rPr>
        <w:t>Petr Hudeček</w:t>
      </w:r>
      <w:bookmarkEnd w:id="16"/>
      <w:bookmarkEnd w:id="17"/>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953812">
      <w:pPr>
        <w:pStyle w:val="Nadpis1"/>
        <w:ind w:firstLine="0"/>
        <w:jc w:val="left"/>
      </w:pPr>
      <w:r w:rsidRPr="00DF128A">
        <w:t xml:space="preserve"> </w:t>
      </w:r>
      <w:bookmarkStart w:id="18" w:name="_Toc301255434"/>
      <w:bookmarkStart w:id="19" w:name="_Toc331023961"/>
      <w:r w:rsidRPr="00DF128A">
        <w:t>Úvod a základní vymezení</w:t>
      </w:r>
      <w:bookmarkEnd w:id="18"/>
      <w:bookmarkEnd w:id="19"/>
    </w:p>
    <w:p w:rsidR="00DF128A" w:rsidRPr="00DF128A" w:rsidRDefault="00DF128A" w:rsidP="00DF128A">
      <w:pPr>
        <w:pStyle w:val="Zkladntextodsazen"/>
        <w:widowControl w:val="0"/>
        <w:spacing w:line="276" w:lineRule="auto"/>
        <w:ind w:firstLine="709"/>
      </w:pPr>
      <w:r w:rsidRPr="00DF128A">
        <w:t>Jen málo činností prodělalo po roce 1989 takové změny jako maloobchod, či obchod zbožím obecně. Souvisí to s naprostou změnou polohy tohoto odvětví v naší transformační ekonomice i běžném životě, ale také s pochody, které se odehrávají v západních zemích. Obchod zbožím již není chápán jako prostý přechod výrobku od výrobce ke spotřebiteli, jak tomu bylo v ČR až do 90. let, ale ani jako uzavřený systém lokálního či regionálního rozsahu uskutečňovaný prostřednictvím malých jednotek. Nový pohled na obchod musí zohledňovat jeho internacionalizaci</w:t>
      </w:r>
      <w:r w:rsidR="00BD5839">
        <w:t xml:space="preserve"> (viz úvod)</w:t>
      </w:r>
      <w:r w:rsidRPr="00DF128A">
        <w:t>, a v posledních letech i globalizaci, která vedla k dalekosáhlým změnám uvnitř celého odvětví.</w:t>
      </w:r>
    </w:p>
    <w:p w:rsidR="00DF128A" w:rsidRPr="00DF128A" w:rsidRDefault="00DF128A" w:rsidP="000D3AD1">
      <w:pPr>
        <w:pStyle w:val="Zkladntextodsazen"/>
        <w:widowControl w:val="0"/>
        <w:spacing w:line="276" w:lineRule="auto"/>
        <w:ind w:firstLine="709"/>
      </w:pPr>
      <w:r w:rsidRPr="00DF128A">
        <w:t>Obchod zbožím je tradičně dělen do více odvětví, kde maloobchod představuje činnost „nákup a následný prodej bez přeměny nového nebo použitého zboží nejširší veřejnosti pro osobní potřebu nebo užití převážně v domácnosti“ (</w:t>
      </w:r>
      <w:r w:rsidR="000D3AD1">
        <w:t>ČSÚ</w:t>
      </w:r>
      <w:r w:rsidRPr="00DF128A">
        <w:t>). Zvlá</w:t>
      </w:r>
      <w:r w:rsidR="000D3AD1">
        <w:t xml:space="preserve">šť je ještě vyčleňován obchod a </w:t>
      </w:r>
      <w:r w:rsidRPr="00DF128A">
        <w:t>prodej motorových vozidel a pohonných hmot, vykazující značná specifika. Maloobchod se realizuje buď prostřednictvím sítě prodejen (klasické obchody), nebo mimo tuto síť (sem patří přímý prodej, zásilkové obchody a jiné).</w:t>
      </w:r>
    </w:p>
    <w:p w:rsidR="00DF128A" w:rsidRPr="00DF128A" w:rsidRDefault="00DF128A" w:rsidP="00DF128A">
      <w:pPr>
        <w:pStyle w:val="Zkladntextodsazen"/>
        <w:widowControl w:val="0"/>
        <w:spacing w:line="276" w:lineRule="auto"/>
        <w:ind w:firstLine="709"/>
      </w:pPr>
      <w:r w:rsidRPr="00DF128A">
        <w:t xml:space="preserve">Smyslem této práce bude základní nástin změn, </w:t>
      </w:r>
      <w:r w:rsidR="000D3AD1">
        <w:t>ke kterým došlo v maloobchodě p</w:t>
      </w:r>
      <w:r w:rsidRPr="00DF128A">
        <w:t>o roce 1989, s důrazem na poslední období, tzv. globalizace českého maloobchodu, související s nástupem mezinárodních řetězců. Tyto změny budou sledovány především prostřednictvím transformace prodejní sítě. V první části budou nastíněny základní prvky globalizace maloobchodu, dále pak budou popsány jednotlivé etapy vývoje maloobchodní sítě v České Republice. V rámci závěru bude stručně nastíněn možný vývoj maloobchodu v nejbližším období.</w:t>
      </w:r>
    </w:p>
    <w:p w:rsidR="00DF128A" w:rsidRPr="00DF128A" w:rsidRDefault="00DF128A" w:rsidP="00DF128A">
      <w:pPr>
        <w:pStyle w:val="Zkladntextodsazen"/>
        <w:widowControl w:val="0"/>
        <w:spacing w:line="276" w:lineRule="auto"/>
        <w:ind w:firstLine="709"/>
      </w:pPr>
    </w:p>
    <w:p w:rsidR="00DF128A" w:rsidRPr="00DF128A" w:rsidRDefault="00DF128A" w:rsidP="00953812">
      <w:pPr>
        <w:pStyle w:val="Nadpis1"/>
        <w:ind w:firstLine="0"/>
        <w:jc w:val="left"/>
      </w:pPr>
      <w:bookmarkStart w:id="20" w:name="_Toc301255435"/>
      <w:bookmarkStart w:id="21" w:name="_Toc331023962"/>
      <w:r w:rsidRPr="00DF128A">
        <w:t>Obecné rysy globalizace maloobchodu</w:t>
      </w:r>
      <w:bookmarkEnd w:id="20"/>
      <w:bookmarkEnd w:id="21"/>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O globalizaci obecně se začíná více mluvit od 90. let 20. století. Nejinak tomu je v případě maloobchodu. Příčiny jsou ale již spatřovány v hlubší minulosti, především v období po druhé světové válce. V té době začala v západních zemích výrazně růst životní úroveň a s ní úzce souvisel i rozvoj maloobchodu. Od 60. let docházelo ke zvětšování ploch jednotlivých prodejen a objevily se i nové typy jako byly hypermarkety a nákupní centra</w:t>
      </w:r>
      <w:r w:rsidRPr="00DF128A">
        <w:rPr>
          <w:rStyle w:val="Znakapoznpodarou"/>
          <w:rFonts w:ascii="Times New Roman" w:hAnsi="Times New Roman" w:cs="Times New Roman"/>
          <w:sz w:val="24"/>
          <w:szCs w:val="24"/>
        </w:rPr>
        <w:footnoteReference w:id="8"/>
      </w:r>
      <w:r w:rsidRPr="00DF128A">
        <w:rPr>
          <w:rFonts w:ascii="Times New Roman" w:hAnsi="Times New Roman" w:cs="Times New Roman"/>
          <w:sz w:val="24"/>
          <w:szCs w:val="24"/>
        </w:rPr>
        <w:t>. Stavbu takovýchto prodejen si mohly dovolit již jen větší společnosti, které také začaly přebírat kontrolu nad logistikou zboží a mohly lépe uplatňovat různé formy racionalizace nákupu, skladování a dopravy. Takto provázaný pohyb zboží v rámci velkých firem a za používání moderních technologií se označuje jako retailing (Cimler</w:t>
      </w:r>
      <w:r w:rsidR="000D3AD1">
        <w:rPr>
          <w:rFonts w:ascii="Times New Roman" w:hAnsi="Times New Roman" w:cs="Times New Roman"/>
          <w:sz w:val="24"/>
          <w:szCs w:val="24"/>
        </w:rPr>
        <w:t>,</w:t>
      </w:r>
      <w:r w:rsidRPr="00DF128A">
        <w:rPr>
          <w:rFonts w:ascii="Times New Roman" w:hAnsi="Times New Roman" w:cs="Times New Roman"/>
          <w:sz w:val="24"/>
          <w:szCs w:val="24"/>
        </w:rPr>
        <w:t xml:space="preserve"> Zadražilová 2007)</w:t>
      </w:r>
      <w:r w:rsidR="000D3AD1">
        <w:rPr>
          <w:rFonts w:ascii="Times New Roman" w:hAnsi="Times New Roman" w:cs="Times New Roman"/>
          <w:sz w:val="24"/>
          <w:szCs w:val="24"/>
        </w:rPr>
        <w:t>.</w:t>
      </w:r>
      <w:r w:rsidRPr="00DF128A">
        <w:rPr>
          <w:rFonts w:ascii="Times New Roman" w:hAnsi="Times New Roman" w:cs="Times New Roman"/>
          <w:sz w:val="24"/>
          <w:szCs w:val="24"/>
        </w:rPr>
        <w:t xml:space="preserve"> Vzrůst podílu velkých firem na jednotlivých trzích byl výrazný po celá 60. a 70. léta a vyvrcholil expanzí na zahraniční trhy v rámci západní Evropy a Severní Ameriky v letech 80., </w:t>
      </w:r>
      <w:r w:rsidRPr="00DF128A">
        <w:rPr>
          <w:rFonts w:ascii="Times New Roman" w:hAnsi="Times New Roman" w:cs="Times New Roman"/>
          <w:sz w:val="24"/>
          <w:szCs w:val="24"/>
        </w:rPr>
        <w:lastRenderedPageBreak/>
        <w:t xml:space="preserve">resp. v letech 90. v bývalém socialistickém bloku, Asii a Latinské Americe. Pro tyto firmy se zažilo také označení maloobchodní řetězce. Je pro ně typická standardizace nejviditelnější v jednotném vizuálním stylu.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Za základní charakteristiky globalizace maloobchodu se ob</w:t>
      </w:r>
      <w:r w:rsidR="000D3AD1">
        <w:rPr>
          <w:rFonts w:ascii="Times New Roman" w:hAnsi="Times New Roman" w:cs="Times New Roman"/>
          <w:sz w:val="24"/>
          <w:szCs w:val="24"/>
        </w:rPr>
        <w:t>ecně považují tyto body (</w:t>
      </w:r>
      <w:r w:rsidR="000D3AD1" w:rsidRPr="00DF128A">
        <w:rPr>
          <w:rFonts w:ascii="Times New Roman" w:hAnsi="Times New Roman" w:cs="Times New Roman"/>
          <w:sz w:val="24"/>
          <w:szCs w:val="24"/>
        </w:rPr>
        <w:t>Pražská a kol. 2000)</w:t>
      </w:r>
      <w:r w:rsidR="000D3AD1">
        <w:rPr>
          <w:rFonts w:ascii="Times New Roman" w:hAnsi="Times New Roman" w:cs="Times New Roman"/>
          <w:sz w:val="24"/>
          <w:szCs w:val="24"/>
        </w:rPr>
        <w:t xml:space="preserve">: </w:t>
      </w:r>
    </w:p>
    <w:p w:rsidR="00DF128A" w:rsidRPr="00DF128A" w:rsidRDefault="00DF128A" w:rsidP="00DF128A">
      <w:pPr>
        <w:widowControl w:val="0"/>
        <w:numPr>
          <w:ilvl w:val="0"/>
          <w:numId w:val="6"/>
        </w:numPr>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Koncentrace obchodních struktur, kdy převážnou část trhu ovládá několik firem a jejich podíl se i nadále zvyšuje především prostřednictvím fůzí a odkupů. Tento stav se odráží ve vytváření žebříčků tzv. TOP společností, které stačí k popisu reality na většině západních trzích (viz tab. 1).</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953812" w:rsidRDefault="00953812">
      <w:pPr>
        <w:rPr>
          <w:rFonts w:ascii="Times New Roman" w:hAnsi="Times New Roman" w:cs="Times New Roman"/>
          <w:sz w:val="24"/>
          <w:szCs w:val="24"/>
        </w:rPr>
      </w:pPr>
      <w:r>
        <w:rPr>
          <w:rFonts w:ascii="Times New Roman" w:hAnsi="Times New Roman" w:cs="Times New Roman"/>
          <w:sz w:val="24"/>
          <w:szCs w:val="24"/>
        </w:rPr>
        <w:br w:type="page"/>
      </w:r>
    </w:p>
    <w:p w:rsidR="00DF128A" w:rsidRPr="00DF128A" w:rsidRDefault="00DF128A" w:rsidP="00F81FFE">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lastRenderedPageBreak/>
        <w:t xml:space="preserve">Tab. 1: TOP 5 největších společností působící v maloobchodě ve vybraných evropských zemích a jejich podíl na trhu k roku 2000. </w:t>
      </w:r>
    </w:p>
    <w:p w:rsidR="00DF128A" w:rsidRDefault="00DF128A" w:rsidP="000D3AD1">
      <w:r w:rsidRPr="000D3AD1">
        <w:rPr>
          <w:noProof/>
          <w:lang w:eastAsia="cs-CZ"/>
        </w:rPr>
        <w:drawing>
          <wp:inline distT="0" distB="0" distL="0" distR="0" wp14:anchorId="732C685F" wp14:editId="09AD029F">
            <wp:extent cx="3238500" cy="3552825"/>
            <wp:effectExtent l="0" t="0" r="0" b="9525"/>
            <wp:docPr id="13" name="Obrázek 13" descr="Cimler_top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mler_top5_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38500" cy="3552825"/>
                    </a:xfrm>
                    <a:prstGeom prst="rect">
                      <a:avLst/>
                    </a:prstGeom>
                    <a:noFill/>
                    <a:ln>
                      <a:noFill/>
                    </a:ln>
                  </pic:spPr>
                </pic:pic>
              </a:graphicData>
            </a:graphic>
          </wp:inline>
        </w:drawing>
      </w:r>
      <w:r w:rsidRPr="000D3AD1">
        <w:rPr>
          <w:noProof/>
          <w:lang w:eastAsia="cs-CZ"/>
        </w:rPr>
        <w:drawing>
          <wp:inline distT="0" distB="0" distL="0" distR="0" wp14:anchorId="4D4A35D9" wp14:editId="3300A67E">
            <wp:extent cx="3114675" cy="3533775"/>
            <wp:effectExtent l="0" t="0" r="9525" b="9525"/>
            <wp:docPr id="12" name="Obrázek 12" descr="Cimler_top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imler_top5_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14675" cy="3533775"/>
                    </a:xfrm>
                    <a:prstGeom prst="rect">
                      <a:avLst/>
                    </a:prstGeom>
                    <a:noFill/>
                    <a:ln>
                      <a:noFill/>
                    </a:ln>
                  </pic:spPr>
                </pic:pic>
              </a:graphicData>
            </a:graphic>
          </wp:inline>
        </w:drawing>
      </w:r>
    </w:p>
    <w:p w:rsidR="00DF128A" w:rsidRPr="00B533A7" w:rsidRDefault="00DF128A" w:rsidP="000D3AD1">
      <w:pPr>
        <w:rPr>
          <w:rFonts w:ascii="Times New Roman" w:hAnsi="Times New Roman" w:cs="Times New Roman"/>
          <w:i/>
          <w:sz w:val="20"/>
          <w:szCs w:val="20"/>
        </w:rPr>
      </w:pPr>
      <w:r w:rsidRPr="00B533A7">
        <w:rPr>
          <w:rFonts w:ascii="Times New Roman" w:hAnsi="Times New Roman" w:cs="Times New Roman"/>
          <w:i/>
          <w:sz w:val="20"/>
          <w:szCs w:val="20"/>
        </w:rPr>
        <w:t>zdroj: Cimle</w:t>
      </w:r>
      <w:r w:rsidR="00B533A7">
        <w:rPr>
          <w:rFonts w:ascii="Times New Roman" w:hAnsi="Times New Roman" w:cs="Times New Roman"/>
          <w:i/>
          <w:sz w:val="20"/>
          <w:szCs w:val="20"/>
        </w:rPr>
        <w:t>r,</w:t>
      </w:r>
      <w:r w:rsidRPr="00B533A7">
        <w:rPr>
          <w:rFonts w:ascii="Times New Roman" w:hAnsi="Times New Roman" w:cs="Times New Roman"/>
          <w:i/>
          <w:sz w:val="20"/>
          <w:szCs w:val="20"/>
        </w:rPr>
        <w:t xml:space="preserve"> Zadražilová 2007</w:t>
      </w:r>
    </w:p>
    <w:p w:rsidR="000D3AD1" w:rsidRPr="000D3AD1" w:rsidRDefault="000D3AD1" w:rsidP="000D3AD1"/>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numPr>
          <w:ilvl w:val="0"/>
          <w:numId w:val="6"/>
        </w:numPr>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Koncentrace provozních jednotek, kdy se neustále zvyšuje prodejní plocha velkých prodejen a s tím stoupá jejich podíl na celkovém obratu. Příkladem může být situace ve Francii roku 1988, kdy 10 % největších prodejen realizovalo 84 % všech prodejů potravin.</w:t>
      </w:r>
    </w:p>
    <w:p w:rsidR="00DF128A" w:rsidRPr="00DF128A" w:rsidRDefault="00DF128A" w:rsidP="00DF128A">
      <w:pPr>
        <w:widowControl w:val="0"/>
        <w:numPr>
          <w:ilvl w:val="0"/>
          <w:numId w:val="6"/>
        </w:numPr>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Internacionalizace, kdy velké firmy působí na více trzích. Tento jev je </w:t>
      </w:r>
      <w:r w:rsidRPr="00DF128A">
        <w:rPr>
          <w:rFonts w:ascii="Times New Roman" w:hAnsi="Times New Roman" w:cs="Times New Roman"/>
          <w:sz w:val="24"/>
          <w:szCs w:val="24"/>
        </w:rPr>
        <w:lastRenderedPageBreak/>
        <w:t>charakteristický od 70. let pro západní Evropu a od 90. let pro zbytek světa. Expanze evropských firem byla dána jednak omezeností domácího trhu a jednak silnými protimonopolními zákony. V Evropské unii ovládalo kolem roku 2000 54 % trhu jen 40 velkých společností.</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F81FFE">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Tab. 2: Největší provozovatelé hypermarketů v Evropě, země působnosti, počet jednotek a obrat v roce 2003.</w:t>
      </w:r>
    </w:p>
    <w:p w:rsidR="00DF128A" w:rsidRPr="00DF128A" w:rsidRDefault="00DF128A" w:rsidP="00F81FFE">
      <w:pPr>
        <w:widowControl w:val="0"/>
        <w:spacing w:line="276" w:lineRule="auto"/>
        <w:jc w:val="both"/>
        <w:rPr>
          <w:rFonts w:ascii="Times New Roman" w:hAnsi="Times New Roman" w:cs="Times New Roman"/>
          <w:sz w:val="24"/>
          <w:szCs w:val="24"/>
        </w:rPr>
      </w:pPr>
      <w:r w:rsidRPr="00DF128A">
        <w:rPr>
          <w:rFonts w:ascii="Times New Roman" w:hAnsi="Times New Roman" w:cs="Times New Roman"/>
          <w:noProof/>
          <w:sz w:val="24"/>
          <w:szCs w:val="24"/>
          <w:lang w:eastAsia="cs-CZ"/>
        </w:rPr>
        <w:drawing>
          <wp:inline distT="0" distB="0" distL="0" distR="0" wp14:anchorId="3AFFEF63" wp14:editId="078F8AFA">
            <wp:extent cx="3733800" cy="3429000"/>
            <wp:effectExtent l="0" t="0" r="0" b="0"/>
            <wp:docPr id="11" name="Obrázek 11" descr="Szczyrba2006_hypermark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zczyrba2006_hypermarket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33800" cy="3429000"/>
                    </a:xfrm>
                    <a:prstGeom prst="rect">
                      <a:avLst/>
                    </a:prstGeom>
                    <a:noFill/>
                    <a:ln>
                      <a:noFill/>
                    </a:ln>
                  </pic:spPr>
                </pic:pic>
              </a:graphicData>
            </a:graphic>
          </wp:inline>
        </w:drawing>
      </w:r>
    </w:p>
    <w:p w:rsidR="00DF128A" w:rsidRPr="00B533A7" w:rsidRDefault="00DF128A" w:rsidP="00F81FFE">
      <w:pPr>
        <w:widowControl w:val="0"/>
        <w:spacing w:line="276" w:lineRule="auto"/>
        <w:jc w:val="both"/>
        <w:rPr>
          <w:rFonts w:ascii="Times New Roman" w:hAnsi="Times New Roman" w:cs="Times New Roman"/>
          <w:i/>
          <w:sz w:val="20"/>
          <w:szCs w:val="20"/>
        </w:rPr>
      </w:pPr>
      <w:r w:rsidRPr="00B533A7">
        <w:rPr>
          <w:rFonts w:ascii="Times New Roman" w:hAnsi="Times New Roman" w:cs="Times New Roman"/>
          <w:i/>
          <w:sz w:val="20"/>
          <w:szCs w:val="20"/>
        </w:rPr>
        <w:t>zdroj: Szczyrba 2006</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numPr>
          <w:ilvl w:val="0"/>
          <w:numId w:val="6"/>
        </w:numPr>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Diverzifikace, kdy se jednotlivé společnosti úzce specializují na určité činnosti či formát prodeje a mohou proto maximálně racionalizovat celý retailing. Takto se třeba firma Wal Mart specializovala jen na 3 typy prodejen a zbytek svých činností podala.</w:t>
      </w:r>
    </w:p>
    <w:p w:rsidR="00DF128A" w:rsidRPr="00DF128A" w:rsidRDefault="00DF128A" w:rsidP="00DF128A">
      <w:pPr>
        <w:widowControl w:val="0"/>
        <w:numPr>
          <w:ilvl w:val="0"/>
          <w:numId w:val="6"/>
        </w:numPr>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Dominance, kdy se vytvářejí giganty srovnatelné s jakýmikoliv jinými největšími světovými společnostmi. Dominance se projevuje především v možnosti maloobchodních firem ovlivňovat přímo výrobu zboží. Toho společnosti dosahují mimo jiné i tím, že se organizují do nadfiremních aliancí a jiných uskupení.</w:t>
      </w:r>
    </w:p>
    <w:p w:rsidR="00DF128A" w:rsidRPr="00DF128A" w:rsidRDefault="00DF128A" w:rsidP="00DF128A">
      <w:pPr>
        <w:widowControl w:val="0"/>
        <w:numPr>
          <w:ilvl w:val="0"/>
          <w:numId w:val="6"/>
        </w:numPr>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Zvýšená konkurence, kdy se boj o zákazníka, na již obsazených trzích, stává mezi společnostmi jedinou možností, jak růst. Projevem je snižování cen různých výrobků a různé věrnostní programy.</w:t>
      </w:r>
    </w:p>
    <w:p w:rsidR="00DF128A" w:rsidRPr="00DF128A" w:rsidRDefault="00DF128A" w:rsidP="00DF128A">
      <w:pPr>
        <w:widowControl w:val="0"/>
        <w:numPr>
          <w:ilvl w:val="0"/>
          <w:numId w:val="6"/>
        </w:numPr>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Nové formy prodeje, kdy se díky rozvoji techniky a především ICT sektoru rozvijí prodej mimo prodejní sítě. Příkladem můžou být internetové obchody, různé internetové aukce a jiné. I když relativní přírůstky těchto forem jsou značné, prodej v sítích neustále jasně dominuje.</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Globalizace maloobchodu se neprojevuje u všech typů zboží stejnoměrně. Za nejvíce globalizovaný se dá považovat prodej pohonných hmot a automobilů, které jsou úzce navázané na ropný resp. automobilový průmysl. Odhaduje se, že až 90% prodejů těchto výrobků se v Evropě děje v prodejnách jednotlivých řetězců. Dalším vysoce koncentrovaným </w:t>
      </w:r>
      <w:r w:rsidRPr="00DF128A">
        <w:rPr>
          <w:rFonts w:ascii="Times New Roman" w:hAnsi="Times New Roman" w:cs="Times New Roman"/>
          <w:sz w:val="24"/>
          <w:szCs w:val="24"/>
        </w:rPr>
        <w:lastRenderedPageBreak/>
        <w:t>obchodem  je prodej potravin, kde se udává míra koncentrace mezi 70 až 90%. (Pražská 2000) Naopak mnohem menší koncentraci vykazují oblasti domácích potřeb</w:t>
      </w:r>
      <w:r w:rsidRPr="00DF128A">
        <w:rPr>
          <w:rStyle w:val="Znakapoznpodarou"/>
          <w:rFonts w:ascii="Times New Roman" w:hAnsi="Times New Roman" w:cs="Times New Roman"/>
          <w:sz w:val="24"/>
          <w:szCs w:val="24"/>
        </w:rPr>
        <w:footnoteReference w:id="9"/>
      </w:r>
      <w:r w:rsidRPr="00DF128A">
        <w:rPr>
          <w:rFonts w:ascii="Times New Roman" w:hAnsi="Times New Roman" w:cs="Times New Roman"/>
          <w:sz w:val="24"/>
          <w:szCs w:val="24"/>
        </w:rPr>
        <w:t xml:space="preserve"> a textilu a některé segmenty maloobchodu, především pro náročnější zákazníky, jako prodej šperků jsou koncentrovány minimálně.</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F81FFE" w:rsidRDefault="00F81FFE" w:rsidP="00953812">
      <w:pPr>
        <w:pStyle w:val="Nadpis1"/>
        <w:ind w:firstLine="0"/>
        <w:jc w:val="left"/>
      </w:pPr>
      <w:bookmarkStart w:id="22" w:name="_Toc301255436"/>
      <w:bookmarkStart w:id="23" w:name="_Toc331023963"/>
      <w:r>
        <w:t>Změny českého maloobchodu</w:t>
      </w:r>
      <w:bookmarkEnd w:id="22"/>
      <w:bookmarkEnd w:id="23"/>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Jak již bylo naznačeno v úvodu, maloobchod v České republice prodělal během necelých 20 let naprosto zásadní změny. Na počátku se maloobchod ubíral odlišnou cestou oproti západním zemím. Tento trend se ale přibližně od poloviny 90. let změnil a v dnešní době se již trh dá do jisté míry srovnávat se situací například v Německu či Itálii. Některé odlišnosti zde ovšem stále přervávají. Podobný vývoj prodělal maloobchod i v jiných postsocialistických zemích, i když jeho rychlost byla (a je) pomalejší. Transformační období se obvykle dělí na dvě části, kdy do roku 1995 se udává jako převládající tendence dekoncentrace maloobchodu či jeho atomizace, a naopak po roce 1995 nastupuje internacionalizace prostřednictvím mezinárodních řetězců a s ní spojená určitá koncentrace. (Szczyrba 2005).</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F81FFE">
      <w:pPr>
        <w:pStyle w:val="Nadpis3"/>
        <w:keepNext w:val="0"/>
        <w:widowControl w:val="0"/>
        <w:numPr>
          <w:ilvl w:val="0"/>
          <w:numId w:val="0"/>
        </w:numPr>
        <w:spacing w:before="0" w:after="0" w:line="276" w:lineRule="auto"/>
        <w:jc w:val="both"/>
        <w:rPr>
          <w:rFonts w:ascii="Times New Roman" w:hAnsi="Times New Roman" w:cs="Times New Roman"/>
          <w:sz w:val="24"/>
          <w:szCs w:val="24"/>
        </w:rPr>
      </w:pPr>
      <w:bookmarkStart w:id="24" w:name="_Toc301255437"/>
      <w:bookmarkStart w:id="25" w:name="_Toc331023964"/>
      <w:r w:rsidRPr="00DF128A">
        <w:rPr>
          <w:rFonts w:ascii="Times New Roman" w:hAnsi="Times New Roman" w:cs="Times New Roman"/>
          <w:sz w:val="24"/>
          <w:szCs w:val="24"/>
        </w:rPr>
        <w:t>Období přechodu od státního k soukromému malo</w:t>
      </w:r>
      <w:r w:rsidR="00F81FFE">
        <w:rPr>
          <w:rFonts w:ascii="Times New Roman" w:hAnsi="Times New Roman" w:cs="Times New Roman"/>
          <w:sz w:val="24"/>
          <w:szCs w:val="24"/>
        </w:rPr>
        <w:t>obchodu a jeho atomizace 1990–</w:t>
      </w:r>
      <w:r w:rsidRPr="00DF128A">
        <w:rPr>
          <w:rFonts w:ascii="Times New Roman" w:hAnsi="Times New Roman" w:cs="Times New Roman"/>
          <w:sz w:val="24"/>
          <w:szCs w:val="24"/>
        </w:rPr>
        <w:t>1995</w:t>
      </w:r>
      <w:bookmarkEnd w:id="24"/>
      <w:bookmarkEnd w:id="25"/>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Socialistický maloobchod se vyznačoval mnoha neduhy, mezi které patřila naprosto nevyhovující odvětvová struktura u nepotravinářského zboží, obecně nízká úroveň a podvybavenost sídel. Maloobchod nebyl prioritní oblastí národního hospodářství a zcela podléhal centrálnímu řízení. To se obecně projevovalo úbytkem maloobchodních prodejen a zároveň zvětšováním průměrné plochy prodejen díky řízené stavbě samoobsluh v souvislosti se střediskovou soustavou osídlení. Docházelo tak k likvidaci prodejních jednotek mimo střediskové obce a k paradoxně lepší vybavenosti menších středisek na úkor větších měst. V samotných městech se maloobchodní prodejny často soustřeďovaly do center a nová sídliště a okrajové části byly vybaveny minimálně. (Szczyrba 2005)</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ab/>
        <w:t>Po Sametové revoluci se přistoupilo k celkové restrukturalizaci obchodu a to především prostřednictvím vytvoření liberálních podmínek pro vznik nových prodejen a také změnou vlastnických struktur již existujících. Maloobchodní jednotky byly předmětem jak "malé" a "velké" privatizace, tak i restitucí</w:t>
      </w:r>
      <w:r w:rsidRPr="00DF128A">
        <w:rPr>
          <w:rStyle w:val="Znakapoznpodarou"/>
          <w:rFonts w:ascii="Times New Roman" w:hAnsi="Times New Roman" w:cs="Times New Roman"/>
          <w:sz w:val="24"/>
          <w:szCs w:val="24"/>
        </w:rPr>
        <w:footnoteReference w:id="10"/>
      </w:r>
      <w:r w:rsidRPr="00DF128A">
        <w:rPr>
          <w:rFonts w:ascii="Times New Roman" w:hAnsi="Times New Roman" w:cs="Times New Roman"/>
          <w:sz w:val="24"/>
          <w:szCs w:val="24"/>
        </w:rPr>
        <w:t xml:space="preserve">. Zvláštním procesem transformace prošla družstva, kde byly obnoveny členské základny. Rychlost tohoto procesu byla ale v porovnání s předchozími převody mnohem pomalejší, a proto byly tyto subjekty v podmínkách rychlých změn trhu znevýhodněny, což se projevilo následným značným snížením počtu jejich prodejen.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Nových podmínek na trhu využili drobní živnostníci, kteří rychle zaplnili mezery ve vybavenosti sídel. Na venkově vznikaly hlavně malé prodejny se základním zbožím, nejčastěji potravinami, a naopak ve městech vznikaly specializované prodejny a byly dovybavovány okrajové části. Bohužel, první (a také poslední) celostátní statistická data</w:t>
      </w:r>
      <w:r w:rsidR="000D3AD1">
        <w:rPr>
          <w:rFonts w:ascii="Times New Roman" w:hAnsi="Times New Roman" w:cs="Times New Roman"/>
          <w:sz w:val="24"/>
          <w:szCs w:val="24"/>
        </w:rPr>
        <w:t xml:space="preserve"> po roce 1989</w:t>
      </w:r>
      <w:r w:rsidRPr="00DF128A">
        <w:rPr>
          <w:rFonts w:ascii="Times New Roman" w:hAnsi="Times New Roman" w:cs="Times New Roman"/>
          <w:sz w:val="24"/>
          <w:szCs w:val="24"/>
        </w:rPr>
        <w:t xml:space="preserve"> jsou k dispozici až za rok 1998, kdy už probíhala opětovná koncentrace, ale i z nich jsou patrné základní tendence vývoje. Počet jednotek se zvýšil ze 41 tisíc na 96 tisíc a to </w:t>
      </w:r>
      <w:r w:rsidRPr="00DF128A">
        <w:rPr>
          <w:rFonts w:ascii="Times New Roman" w:hAnsi="Times New Roman" w:cs="Times New Roman"/>
          <w:sz w:val="24"/>
          <w:szCs w:val="24"/>
        </w:rPr>
        <w:lastRenderedPageBreak/>
        <w:t>především u prodejen nepotravinářského typu</w:t>
      </w:r>
      <w:r w:rsidR="000D3AD1">
        <w:rPr>
          <w:rFonts w:ascii="Times New Roman" w:hAnsi="Times New Roman" w:cs="Times New Roman"/>
          <w:sz w:val="24"/>
          <w:szCs w:val="24"/>
        </w:rPr>
        <w:t xml:space="preserve"> (viz tab. 3)</w:t>
      </w:r>
      <w:r w:rsidRPr="00DF128A">
        <w:rPr>
          <w:rFonts w:ascii="Times New Roman" w:hAnsi="Times New Roman" w:cs="Times New Roman"/>
          <w:sz w:val="24"/>
          <w:szCs w:val="24"/>
        </w:rPr>
        <w:t>. Podíl prodejen do 40 m</w:t>
      </w:r>
      <w:r w:rsidRPr="00DF128A">
        <w:rPr>
          <w:rFonts w:ascii="Times New Roman" w:hAnsi="Times New Roman" w:cs="Times New Roman"/>
          <w:sz w:val="24"/>
          <w:szCs w:val="24"/>
          <w:vertAlign w:val="superscript"/>
        </w:rPr>
        <w:t>2</w:t>
      </w:r>
      <w:r w:rsidRPr="00DF128A">
        <w:rPr>
          <w:rFonts w:ascii="Times New Roman" w:hAnsi="Times New Roman" w:cs="Times New Roman"/>
          <w:sz w:val="24"/>
          <w:szCs w:val="24"/>
        </w:rPr>
        <w:t xml:space="preserve"> dosahoval 60%. Výrazný nárůst byl také zaznamenán v plošném standardu, který dosáhl hodnoty 0,7 m</w:t>
      </w:r>
      <w:r w:rsidRPr="00DF128A">
        <w:rPr>
          <w:rFonts w:ascii="Times New Roman" w:hAnsi="Times New Roman" w:cs="Times New Roman"/>
          <w:sz w:val="24"/>
          <w:szCs w:val="24"/>
          <w:vertAlign w:val="superscript"/>
        </w:rPr>
        <w:t>2</w:t>
      </w:r>
      <w:r w:rsidRPr="00DF128A">
        <w:rPr>
          <w:rFonts w:ascii="Times New Roman" w:hAnsi="Times New Roman" w:cs="Times New Roman"/>
          <w:sz w:val="24"/>
          <w:szCs w:val="24"/>
        </w:rPr>
        <w:t>/obyv. u prodejní plochy. I přes tyto změny ještě ale stále převyšovala poptávka nabídku. (Szczyrba 2006)</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Pro toto období je tedy charakteristická značná roztříštěnost trhu a také jeho nestálost. Podíl 10 největších potravinářských </w:t>
      </w:r>
      <w:r w:rsidR="000D3AD1">
        <w:rPr>
          <w:rFonts w:ascii="Times New Roman" w:hAnsi="Times New Roman" w:cs="Times New Roman"/>
          <w:sz w:val="24"/>
          <w:szCs w:val="24"/>
        </w:rPr>
        <w:t>maloobchodních firem</w:t>
      </w:r>
      <w:r w:rsidRPr="00DF128A">
        <w:rPr>
          <w:rFonts w:ascii="Times New Roman" w:hAnsi="Times New Roman" w:cs="Times New Roman"/>
          <w:sz w:val="24"/>
          <w:szCs w:val="24"/>
        </w:rPr>
        <w:t xml:space="preserve"> realizuje v roce 1994 jen 7% celkového obratu. Velká většina těchto firem je domácích, i když na náš trh vstupují i první zahraniční řetězce, jako například Delvita, Kmart, či Euronova – pozdější Ahold</w:t>
      </w:r>
      <w:r w:rsidRPr="00DF128A">
        <w:rPr>
          <w:rStyle w:val="Znakapoznpodarou"/>
          <w:rFonts w:ascii="Times New Roman" w:hAnsi="Times New Roman" w:cs="Times New Roman"/>
          <w:sz w:val="24"/>
          <w:szCs w:val="24"/>
        </w:rPr>
        <w:footnoteReference w:id="11"/>
      </w:r>
      <w:r w:rsidRPr="00DF128A">
        <w:rPr>
          <w:rFonts w:ascii="Times New Roman" w:hAnsi="Times New Roman" w:cs="Times New Roman"/>
          <w:sz w:val="24"/>
          <w:szCs w:val="24"/>
        </w:rPr>
        <w:t>.</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F81FFE">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Tab. 3: Porovnání základních charakteristik maloobchodní sítě v krajích ČR v letech 1989 a 1998.</w:t>
      </w:r>
    </w:p>
    <w:p w:rsidR="00DF128A" w:rsidRPr="00DF128A" w:rsidRDefault="00DF128A" w:rsidP="00F81FFE">
      <w:pPr>
        <w:widowControl w:val="0"/>
        <w:spacing w:line="276" w:lineRule="auto"/>
        <w:jc w:val="both"/>
        <w:rPr>
          <w:rFonts w:ascii="Times New Roman" w:hAnsi="Times New Roman" w:cs="Times New Roman"/>
          <w:sz w:val="24"/>
          <w:szCs w:val="24"/>
        </w:rPr>
      </w:pPr>
      <w:r w:rsidRPr="00DF128A">
        <w:rPr>
          <w:rFonts w:ascii="Times New Roman" w:hAnsi="Times New Roman" w:cs="Times New Roman"/>
          <w:noProof/>
          <w:sz w:val="24"/>
          <w:szCs w:val="24"/>
          <w:lang w:eastAsia="cs-CZ"/>
        </w:rPr>
        <w:drawing>
          <wp:inline distT="0" distB="0" distL="0" distR="0" wp14:anchorId="28D33C6A" wp14:editId="4AC16CB3">
            <wp:extent cx="4114800" cy="4448175"/>
            <wp:effectExtent l="0" t="0" r="0" b="9525"/>
            <wp:docPr id="10" name="Obrázek 10" descr="Szczyrba2006_retail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zczyrba2006_retail9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14800" cy="4448175"/>
                    </a:xfrm>
                    <a:prstGeom prst="rect">
                      <a:avLst/>
                    </a:prstGeom>
                    <a:noFill/>
                    <a:ln>
                      <a:noFill/>
                    </a:ln>
                  </pic:spPr>
                </pic:pic>
              </a:graphicData>
            </a:graphic>
          </wp:inline>
        </w:drawing>
      </w:r>
    </w:p>
    <w:p w:rsidR="00DF128A" w:rsidRPr="00DF128A" w:rsidRDefault="00DF128A" w:rsidP="00F81FFE">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zdroj: Szczyrba 2006</w:t>
      </w:r>
    </w:p>
    <w:p w:rsidR="00DF128A" w:rsidRPr="00DF128A" w:rsidRDefault="00DF128A" w:rsidP="00DF128A">
      <w:pPr>
        <w:widowControl w:val="0"/>
        <w:spacing w:line="276" w:lineRule="auto"/>
        <w:ind w:firstLine="709"/>
        <w:jc w:val="both"/>
        <w:rPr>
          <w:rFonts w:ascii="Times New Roman" w:hAnsi="Times New Roman" w:cs="Times New Roman"/>
          <w:b/>
          <w:bCs/>
          <w:sz w:val="24"/>
          <w:szCs w:val="24"/>
        </w:rPr>
      </w:pPr>
    </w:p>
    <w:p w:rsidR="00DF128A" w:rsidRPr="00DF128A" w:rsidRDefault="00DF128A" w:rsidP="00F81FFE">
      <w:pPr>
        <w:pStyle w:val="Nadpis3"/>
        <w:keepNext w:val="0"/>
        <w:widowControl w:val="0"/>
        <w:numPr>
          <w:ilvl w:val="0"/>
          <w:numId w:val="0"/>
        </w:numPr>
        <w:spacing w:before="0" w:after="0" w:line="276" w:lineRule="auto"/>
        <w:jc w:val="both"/>
        <w:rPr>
          <w:rFonts w:ascii="Times New Roman" w:hAnsi="Times New Roman" w:cs="Times New Roman"/>
          <w:sz w:val="24"/>
          <w:szCs w:val="24"/>
        </w:rPr>
      </w:pPr>
      <w:bookmarkStart w:id="26" w:name="_Toc301255438"/>
      <w:bookmarkStart w:id="27" w:name="_Toc331023965"/>
      <w:r w:rsidRPr="00DF128A">
        <w:rPr>
          <w:rFonts w:ascii="Times New Roman" w:hAnsi="Times New Roman" w:cs="Times New Roman"/>
          <w:sz w:val="24"/>
          <w:szCs w:val="24"/>
        </w:rPr>
        <w:t>Období nástupu zahraničních řetězců a koncentrace v maloobchodě po roce 1995</w:t>
      </w:r>
      <w:bookmarkEnd w:id="26"/>
      <w:bookmarkEnd w:id="27"/>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V této době nastupují a posléze začínají dominovat velké řetězce a vývoj našeho trhu připomíná změny odehrávající se v západní Evropě v posledních 40 letech. Výrazně se mění nákupní chování českého zákazníka. Jeho požadavky naplňují nové formy prodejen jako </w:t>
      </w:r>
      <w:r w:rsidRPr="00DF128A">
        <w:rPr>
          <w:rFonts w:ascii="Times New Roman" w:hAnsi="Times New Roman" w:cs="Times New Roman"/>
          <w:sz w:val="24"/>
          <w:szCs w:val="24"/>
        </w:rPr>
        <w:lastRenderedPageBreak/>
        <w:t>diskonty</w:t>
      </w:r>
      <w:r w:rsidRPr="00DF128A">
        <w:rPr>
          <w:rStyle w:val="Znakapoznpodarou"/>
          <w:rFonts w:ascii="Times New Roman" w:hAnsi="Times New Roman" w:cs="Times New Roman"/>
          <w:sz w:val="24"/>
          <w:szCs w:val="24"/>
        </w:rPr>
        <w:footnoteReference w:id="12"/>
      </w:r>
      <w:r w:rsidRPr="00DF128A">
        <w:rPr>
          <w:rFonts w:ascii="Times New Roman" w:hAnsi="Times New Roman" w:cs="Times New Roman"/>
          <w:sz w:val="24"/>
          <w:szCs w:val="24"/>
        </w:rPr>
        <w:t>, supermarkety a hypermarkety a nakonec i velká nákupní centra.</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Přibližně do roku 1998 se nabídka a poptávka vyrovnávají a největší rozvoj je zaznamenán u supermarketů. Následně, s nástupem nových řetězců jako Globus, Hypernova, Carrefour a Tesco jsou otevírány první hypermarkety. Na náš trh přichází také Hornbach, OBI a Bauhaus s novým typem velké prodejny tzv. hobbymarketem. Po roce 2003 zaznamenávají boom diskontní řetězce jako Penny, Plus Discount a především Lidl, který vstupuje na náš trh velmi razantně a do konce stejného roku má již 70 prodejen. Od této doby se také začínají objevovat názory, že náš trh je dostatečně nasycený, či přesycený. Nástup jednotlivých řetězců přibližuje tab. č. 4.</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F81FFE">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Tab. 4: Nástup na český tra a případný odchod vybraných mezinárodních řetězců.</w:t>
      </w:r>
    </w:p>
    <w:tbl>
      <w:tblPr>
        <w:tblW w:w="7200" w:type="dxa"/>
        <w:tblCellMar>
          <w:left w:w="0" w:type="dxa"/>
          <w:right w:w="0" w:type="dxa"/>
        </w:tblCellMar>
        <w:tblLook w:val="0000" w:firstRow="0" w:lastRow="0" w:firstColumn="0" w:lastColumn="0" w:noHBand="0" w:noVBand="0"/>
      </w:tblPr>
      <w:tblGrid>
        <w:gridCol w:w="1420"/>
        <w:gridCol w:w="340"/>
        <w:gridCol w:w="340"/>
        <w:gridCol w:w="340"/>
        <w:gridCol w:w="340"/>
        <w:gridCol w:w="340"/>
        <w:gridCol w:w="340"/>
        <w:gridCol w:w="340"/>
        <w:gridCol w:w="340"/>
        <w:gridCol w:w="340"/>
        <w:gridCol w:w="340"/>
        <w:gridCol w:w="340"/>
        <w:gridCol w:w="340"/>
        <w:gridCol w:w="340"/>
        <w:gridCol w:w="340"/>
        <w:gridCol w:w="340"/>
        <w:gridCol w:w="340"/>
        <w:gridCol w:w="340"/>
      </w:tblGrid>
      <w:tr w:rsidR="00DF128A" w:rsidRPr="00DF128A" w:rsidTr="00F81FFE">
        <w:trPr>
          <w:trHeight w:val="255"/>
        </w:trPr>
        <w:tc>
          <w:tcPr>
            <w:tcW w:w="1420" w:type="dxa"/>
            <w:tcBorders>
              <w:top w:val="single" w:sz="8" w:space="0" w:color="auto"/>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340" w:type="dxa"/>
            <w:tcBorders>
              <w:top w:val="single" w:sz="8" w:space="0" w:color="auto"/>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´91</w:t>
            </w:r>
          </w:p>
        </w:tc>
        <w:tc>
          <w:tcPr>
            <w:tcW w:w="340" w:type="dxa"/>
            <w:tcBorders>
              <w:top w:val="single" w:sz="8" w:space="0" w:color="auto"/>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´92</w:t>
            </w:r>
          </w:p>
        </w:tc>
        <w:tc>
          <w:tcPr>
            <w:tcW w:w="340" w:type="dxa"/>
            <w:tcBorders>
              <w:top w:val="single" w:sz="8" w:space="0" w:color="auto"/>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´93</w:t>
            </w:r>
          </w:p>
        </w:tc>
        <w:tc>
          <w:tcPr>
            <w:tcW w:w="340" w:type="dxa"/>
            <w:tcBorders>
              <w:top w:val="single" w:sz="8" w:space="0" w:color="auto"/>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´94</w:t>
            </w:r>
          </w:p>
        </w:tc>
        <w:tc>
          <w:tcPr>
            <w:tcW w:w="340" w:type="dxa"/>
            <w:tcBorders>
              <w:top w:val="single" w:sz="8" w:space="0" w:color="auto"/>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´95</w:t>
            </w:r>
          </w:p>
        </w:tc>
        <w:tc>
          <w:tcPr>
            <w:tcW w:w="340" w:type="dxa"/>
            <w:tcBorders>
              <w:top w:val="single" w:sz="8" w:space="0" w:color="auto"/>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´96</w:t>
            </w:r>
          </w:p>
        </w:tc>
        <w:tc>
          <w:tcPr>
            <w:tcW w:w="340" w:type="dxa"/>
            <w:tcBorders>
              <w:top w:val="single" w:sz="8" w:space="0" w:color="auto"/>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´97</w:t>
            </w:r>
          </w:p>
        </w:tc>
        <w:tc>
          <w:tcPr>
            <w:tcW w:w="340" w:type="dxa"/>
            <w:tcBorders>
              <w:top w:val="single" w:sz="8" w:space="0" w:color="auto"/>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´98</w:t>
            </w:r>
          </w:p>
        </w:tc>
        <w:tc>
          <w:tcPr>
            <w:tcW w:w="340" w:type="dxa"/>
            <w:tcBorders>
              <w:top w:val="single" w:sz="8" w:space="0" w:color="auto"/>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´99</w:t>
            </w:r>
          </w:p>
        </w:tc>
        <w:tc>
          <w:tcPr>
            <w:tcW w:w="340" w:type="dxa"/>
            <w:tcBorders>
              <w:top w:val="single" w:sz="8" w:space="0" w:color="auto"/>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´01</w:t>
            </w:r>
          </w:p>
        </w:tc>
        <w:tc>
          <w:tcPr>
            <w:tcW w:w="340" w:type="dxa"/>
            <w:tcBorders>
              <w:top w:val="single" w:sz="8" w:space="0" w:color="auto"/>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´02</w:t>
            </w:r>
          </w:p>
        </w:tc>
        <w:tc>
          <w:tcPr>
            <w:tcW w:w="340" w:type="dxa"/>
            <w:tcBorders>
              <w:top w:val="single" w:sz="8" w:space="0" w:color="auto"/>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´03</w:t>
            </w:r>
          </w:p>
        </w:tc>
        <w:tc>
          <w:tcPr>
            <w:tcW w:w="340" w:type="dxa"/>
            <w:tcBorders>
              <w:top w:val="single" w:sz="8" w:space="0" w:color="auto"/>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´04</w:t>
            </w:r>
          </w:p>
        </w:tc>
        <w:tc>
          <w:tcPr>
            <w:tcW w:w="340" w:type="dxa"/>
            <w:tcBorders>
              <w:top w:val="single" w:sz="8" w:space="0" w:color="auto"/>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´05</w:t>
            </w:r>
          </w:p>
        </w:tc>
        <w:tc>
          <w:tcPr>
            <w:tcW w:w="340" w:type="dxa"/>
            <w:tcBorders>
              <w:top w:val="single" w:sz="8" w:space="0" w:color="auto"/>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´06</w:t>
            </w:r>
          </w:p>
        </w:tc>
        <w:tc>
          <w:tcPr>
            <w:tcW w:w="340" w:type="dxa"/>
            <w:tcBorders>
              <w:top w:val="single" w:sz="8" w:space="0" w:color="auto"/>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´07</w:t>
            </w:r>
          </w:p>
        </w:tc>
        <w:tc>
          <w:tcPr>
            <w:tcW w:w="340" w:type="dxa"/>
            <w:tcBorders>
              <w:top w:val="single" w:sz="8" w:space="0" w:color="auto"/>
              <w:left w:val="nil"/>
              <w:bottom w:val="single" w:sz="4" w:space="0" w:color="auto"/>
              <w:right w:val="single" w:sz="8"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´08</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b/>
                <w:bCs/>
                <w:sz w:val="20"/>
                <w:szCs w:val="20"/>
              </w:rPr>
            </w:pPr>
            <w:r w:rsidRPr="00F81FFE">
              <w:rPr>
                <w:rFonts w:cstheme="minorHAnsi"/>
                <w:b/>
                <w:bCs/>
                <w:sz w:val="20"/>
                <w:szCs w:val="20"/>
              </w:rPr>
              <w:t>Ahlod</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8"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b/>
                <w:bCs/>
                <w:sz w:val="20"/>
                <w:szCs w:val="20"/>
              </w:rPr>
            </w:pPr>
            <w:r w:rsidRPr="00F81FFE">
              <w:rPr>
                <w:rFonts w:cstheme="minorHAnsi"/>
                <w:b/>
                <w:bCs/>
                <w:sz w:val="20"/>
                <w:szCs w:val="20"/>
              </w:rPr>
              <w:t>Billa</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8"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b/>
                <w:bCs/>
                <w:sz w:val="20"/>
                <w:szCs w:val="20"/>
              </w:rPr>
            </w:pPr>
            <w:r w:rsidRPr="00F81FFE">
              <w:rPr>
                <w:rFonts w:cstheme="minorHAnsi"/>
                <w:b/>
                <w:bCs/>
                <w:sz w:val="20"/>
                <w:szCs w:val="20"/>
              </w:rPr>
              <w:t>Delvita</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Asko nábytek</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8"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b/>
                <w:bCs/>
                <w:sz w:val="20"/>
                <w:szCs w:val="20"/>
              </w:rPr>
            </w:pPr>
            <w:r w:rsidRPr="00F81FFE">
              <w:rPr>
                <w:rFonts w:cstheme="minorHAnsi"/>
                <w:b/>
                <w:bCs/>
                <w:sz w:val="20"/>
                <w:szCs w:val="20"/>
              </w:rPr>
              <w:t>Plus discount</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b/>
                <w:bCs/>
                <w:sz w:val="20"/>
                <w:szCs w:val="20"/>
              </w:rPr>
            </w:pPr>
            <w:r w:rsidRPr="00F81FFE">
              <w:rPr>
                <w:rFonts w:cstheme="minorHAnsi"/>
                <w:b/>
                <w:bCs/>
                <w:sz w:val="20"/>
                <w:szCs w:val="20"/>
              </w:rPr>
              <w:t>Edeka</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b/>
                <w:bCs/>
                <w:sz w:val="20"/>
                <w:szCs w:val="20"/>
              </w:rPr>
            </w:pPr>
            <w:r w:rsidRPr="00F81FFE">
              <w:rPr>
                <w:rFonts w:cstheme="minorHAnsi"/>
                <w:b/>
                <w:bCs/>
                <w:sz w:val="20"/>
                <w:szCs w:val="20"/>
              </w:rPr>
              <w:t>Norma</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8"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Baumax</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8"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Bauhaus</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8"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Dm-drogerie</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8"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b/>
                <w:bCs/>
                <w:sz w:val="20"/>
                <w:szCs w:val="20"/>
              </w:rPr>
            </w:pPr>
            <w:r w:rsidRPr="00F81FFE">
              <w:rPr>
                <w:rFonts w:cstheme="minorHAnsi"/>
                <w:b/>
                <w:bCs/>
                <w:sz w:val="20"/>
                <w:szCs w:val="20"/>
              </w:rPr>
              <w:t>Julius Meinl</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Rossmannn</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8"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OBI</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8"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Sconto nábytek</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8"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b/>
                <w:bCs/>
                <w:sz w:val="20"/>
                <w:szCs w:val="20"/>
              </w:rPr>
            </w:pPr>
            <w:r w:rsidRPr="00F81FFE">
              <w:rPr>
                <w:rFonts w:cstheme="minorHAnsi"/>
                <w:b/>
                <w:bCs/>
                <w:sz w:val="20"/>
                <w:szCs w:val="20"/>
              </w:rPr>
              <w:t>Tesco</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8"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b/>
                <w:bCs/>
                <w:sz w:val="20"/>
                <w:szCs w:val="20"/>
              </w:rPr>
            </w:pPr>
            <w:r w:rsidRPr="00F81FFE">
              <w:rPr>
                <w:rFonts w:cstheme="minorHAnsi"/>
                <w:b/>
                <w:bCs/>
                <w:sz w:val="20"/>
                <w:szCs w:val="20"/>
              </w:rPr>
              <w:t>Globus</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8"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Europa Möbel</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8"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Ikea</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8"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Droxi</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8"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b/>
                <w:bCs/>
                <w:sz w:val="20"/>
                <w:szCs w:val="20"/>
              </w:rPr>
            </w:pPr>
            <w:r w:rsidRPr="00F81FFE">
              <w:rPr>
                <w:rFonts w:cstheme="minorHAnsi"/>
                <w:b/>
                <w:bCs/>
                <w:sz w:val="20"/>
                <w:szCs w:val="20"/>
              </w:rPr>
              <w:t>Interspar</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color w:val="FF0000"/>
                <w:sz w:val="20"/>
                <w:szCs w:val="20"/>
              </w:rPr>
            </w:pPr>
            <w:r w:rsidRPr="00F81FFE">
              <w:rPr>
                <w:rFonts w:cstheme="minorHAnsi"/>
                <w:color w:val="FF0000"/>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8"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b/>
                <w:bCs/>
                <w:sz w:val="20"/>
                <w:szCs w:val="20"/>
              </w:rPr>
            </w:pPr>
            <w:r w:rsidRPr="00F81FFE">
              <w:rPr>
                <w:rFonts w:cstheme="minorHAnsi"/>
                <w:b/>
                <w:bCs/>
                <w:sz w:val="20"/>
                <w:szCs w:val="20"/>
              </w:rPr>
              <w:t>Penny Market</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8"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b/>
                <w:bCs/>
                <w:sz w:val="20"/>
                <w:szCs w:val="20"/>
              </w:rPr>
            </w:pPr>
            <w:r w:rsidRPr="00F81FFE">
              <w:rPr>
                <w:rFonts w:cstheme="minorHAnsi"/>
                <w:b/>
                <w:bCs/>
                <w:sz w:val="20"/>
                <w:szCs w:val="20"/>
              </w:rPr>
              <w:t>Makro</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8"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b/>
                <w:bCs/>
                <w:sz w:val="20"/>
                <w:szCs w:val="20"/>
              </w:rPr>
            </w:pPr>
            <w:r w:rsidRPr="00F81FFE">
              <w:rPr>
                <w:rFonts w:cstheme="minorHAnsi"/>
                <w:b/>
                <w:bCs/>
                <w:sz w:val="20"/>
                <w:szCs w:val="20"/>
              </w:rPr>
              <w:t>Kaufland</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8"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b/>
                <w:bCs/>
                <w:sz w:val="20"/>
                <w:szCs w:val="20"/>
              </w:rPr>
            </w:pPr>
            <w:r w:rsidRPr="00F81FFE">
              <w:rPr>
                <w:rFonts w:cstheme="minorHAnsi"/>
                <w:b/>
                <w:bCs/>
                <w:sz w:val="20"/>
                <w:szCs w:val="20"/>
              </w:rPr>
              <w:t>Carrefour</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r>
      <w:tr w:rsidR="00DF128A" w:rsidRPr="00DF128A" w:rsidTr="00F81FFE">
        <w:trPr>
          <w:trHeight w:val="255"/>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Hornabch</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4"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4" w:space="0" w:color="auto"/>
              <w:right w:val="single" w:sz="8" w:space="0" w:color="auto"/>
            </w:tcBorders>
            <w:shd w:val="clear" w:color="auto" w:fill="008000"/>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r>
      <w:tr w:rsidR="00DF128A" w:rsidRPr="00DF128A" w:rsidTr="00F81FFE">
        <w:trPr>
          <w:trHeight w:val="270"/>
        </w:trPr>
        <w:tc>
          <w:tcPr>
            <w:tcW w:w="0" w:type="auto"/>
            <w:tcBorders>
              <w:top w:val="nil"/>
              <w:left w:val="single" w:sz="8" w:space="0" w:color="auto"/>
              <w:bottom w:val="single" w:sz="8"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b/>
                <w:bCs/>
                <w:sz w:val="20"/>
                <w:szCs w:val="20"/>
              </w:rPr>
            </w:pPr>
            <w:r w:rsidRPr="00F81FFE">
              <w:rPr>
                <w:rFonts w:cstheme="minorHAnsi"/>
                <w:b/>
                <w:bCs/>
                <w:sz w:val="20"/>
                <w:szCs w:val="20"/>
              </w:rPr>
              <w:t>Lidl</w:t>
            </w:r>
          </w:p>
        </w:tc>
        <w:tc>
          <w:tcPr>
            <w:tcW w:w="0" w:type="auto"/>
            <w:tcBorders>
              <w:top w:val="nil"/>
              <w:left w:val="nil"/>
              <w:bottom w:val="single" w:sz="8"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8"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8" w:space="0" w:color="auto"/>
              <w:right w:val="single" w:sz="4" w:space="0" w:color="auto"/>
            </w:tcBorders>
            <w:noWrap/>
            <w:tcMar>
              <w:top w:w="15" w:type="dxa"/>
              <w:left w:w="15" w:type="dxa"/>
              <w:bottom w:w="0" w:type="dxa"/>
              <w:right w:w="15" w:type="dxa"/>
            </w:tcMar>
            <w:vAlign w:val="bottom"/>
          </w:tcPr>
          <w:p w:rsidR="00DF128A" w:rsidRPr="00F81FFE" w:rsidRDefault="00DF128A" w:rsidP="00F81FFE">
            <w:pPr>
              <w:pStyle w:val="Textpoznpodarou"/>
              <w:widowControl w:val="0"/>
              <w:spacing w:line="276" w:lineRule="auto"/>
              <w:jc w:val="both"/>
              <w:rPr>
                <w:rFonts w:asciiTheme="minorHAnsi" w:eastAsia="Arial Unicode MS" w:hAnsiTheme="minorHAnsi" w:cstheme="minorHAnsi"/>
              </w:rPr>
            </w:pPr>
            <w:r w:rsidRPr="00F81FFE">
              <w:rPr>
                <w:rFonts w:asciiTheme="minorHAnsi" w:hAnsiTheme="minorHAnsi" w:cstheme="minorHAnsi"/>
              </w:rPr>
              <w:t> </w:t>
            </w:r>
          </w:p>
        </w:tc>
        <w:tc>
          <w:tcPr>
            <w:tcW w:w="0" w:type="auto"/>
            <w:tcBorders>
              <w:top w:val="nil"/>
              <w:left w:val="nil"/>
              <w:bottom w:val="single" w:sz="8"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8"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8"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8"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8"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8"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8"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8" w:space="0" w:color="auto"/>
              <w:right w:val="single" w:sz="4" w:space="0" w:color="auto"/>
            </w:tcBorders>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8"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8"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8"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8"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8" w:space="0" w:color="auto"/>
              <w:right w:val="single" w:sz="4"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c>
          <w:tcPr>
            <w:tcW w:w="0" w:type="auto"/>
            <w:tcBorders>
              <w:top w:val="nil"/>
              <w:left w:val="nil"/>
              <w:bottom w:val="single" w:sz="8" w:space="0" w:color="auto"/>
              <w:right w:val="single" w:sz="8" w:space="0" w:color="auto"/>
            </w:tcBorders>
            <w:shd w:val="clear" w:color="auto" w:fill="339966"/>
            <w:noWrap/>
            <w:tcMar>
              <w:top w:w="15" w:type="dxa"/>
              <w:left w:w="15" w:type="dxa"/>
              <w:bottom w:w="0" w:type="dxa"/>
              <w:right w:w="15" w:type="dxa"/>
            </w:tcMar>
            <w:vAlign w:val="bottom"/>
          </w:tcPr>
          <w:p w:rsidR="00DF128A" w:rsidRPr="00F81FFE" w:rsidRDefault="00DF128A" w:rsidP="00F81FFE">
            <w:pPr>
              <w:widowControl w:val="0"/>
              <w:spacing w:line="276" w:lineRule="auto"/>
              <w:jc w:val="both"/>
              <w:rPr>
                <w:rFonts w:eastAsia="Arial Unicode MS" w:cstheme="minorHAnsi"/>
                <w:sz w:val="20"/>
                <w:szCs w:val="20"/>
              </w:rPr>
            </w:pPr>
            <w:r w:rsidRPr="00F81FFE">
              <w:rPr>
                <w:rFonts w:cstheme="minorHAnsi"/>
                <w:sz w:val="20"/>
                <w:szCs w:val="20"/>
              </w:rPr>
              <w:t> </w:t>
            </w:r>
          </w:p>
        </w:tc>
      </w:tr>
    </w:tbl>
    <w:p w:rsidR="00DF128A" w:rsidRPr="00DF128A" w:rsidRDefault="00DF128A" w:rsidP="00F81FFE">
      <w:pPr>
        <w:pStyle w:val="Zpat"/>
        <w:widowControl w:val="0"/>
        <w:tabs>
          <w:tab w:val="clear" w:pos="4536"/>
          <w:tab w:val="clear" w:pos="9072"/>
        </w:tabs>
        <w:spacing w:line="276" w:lineRule="auto"/>
        <w:jc w:val="both"/>
      </w:pPr>
      <w:r w:rsidRPr="00DF128A">
        <w:t>vysvětlivky: tučně jsou vyznačeny prodejny potravin  zdroj: Szczyrba 2006 a vlastní úpravy</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Hlavní tendence j</w:t>
      </w:r>
      <w:r w:rsidR="00560631">
        <w:rPr>
          <w:rFonts w:ascii="Times New Roman" w:hAnsi="Times New Roman" w:cs="Times New Roman"/>
          <w:sz w:val="24"/>
          <w:szCs w:val="24"/>
        </w:rPr>
        <w:t>i</w:t>
      </w:r>
      <w:r w:rsidRPr="00DF128A">
        <w:rPr>
          <w:rFonts w:ascii="Times New Roman" w:hAnsi="Times New Roman" w:cs="Times New Roman"/>
          <w:sz w:val="24"/>
          <w:szCs w:val="24"/>
        </w:rPr>
        <w:t xml:space="preserve">ž splňují všechny výše uvedené rysy globalizace maloobchodu. Koncentrace obchodních struktur je patrná na příkladu rychloobrátkového zboží (obr. 1), kdy </w:t>
      </w:r>
      <w:r w:rsidRPr="00DF128A">
        <w:rPr>
          <w:rFonts w:ascii="Times New Roman" w:hAnsi="Times New Roman" w:cs="Times New Roman"/>
          <w:sz w:val="24"/>
          <w:szCs w:val="24"/>
        </w:rPr>
        <w:lastRenderedPageBreak/>
        <w:t>za 10 let stoupnul podíl 10 největších firem za přibližně 12% na 52</w:t>
      </w:r>
      <w:r w:rsidR="00B163E1">
        <w:rPr>
          <w:rFonts w:ascii="Times New Roman" w:hAnsi="Times New Roman" w:cs="Times New Roman"/>
          <w:sz w:val="24"/>
          <w:szCs w:val="24"/>
        </w:rPr>
        <w:t xml:space="preserve"> </w:t>
      </w:r>
      <w:r w:rsidRPr="00DF128A">
        <w:rPr>
          <w:rFonts w:ascii="Times New Roman" w:hAnsi="Times New Roman" w:cs="Times New Roman"/>
          <w:sz w:val="24"/>
          <w:szCs w:val="24"/>
        </w:rPr>
        <w:t>%. Jiným příkladem může být meziroční přírůstek celkového obratu TOP 10 největších obchodních firem (tab. 4).</w:t>
      </w:r>
    </w:p>
    <w:p w:rsidR="00DF128A" w:rsidRPr="00DF128A" w:rsidRDefault="00DF128A" w:rsidP="00DF128A">
      <w:pPr>
        <w:pStyle w:val="Zkladntext2"/>
        <w:widowControl w:val="0"/>
        <w:spacing w:line="276" w:lineRule="auto"/>
        <w:ind w:firstLine="709"/>
      </w:pPr>
      <w:r w:rsidRPr="00DF128A">
        <w:rPr>
          <w:noProof/>
        </w:rPr>
        <w:drawing>
          <wp:inline distT="0" distB="0" distL="0" distR="0" wp14:anchorId="7973DFB9" wp14:editId="6D5AAE18">
            <wp:extent cx="4859079" cy="2261516"/>
            <wp:effectExtent l="0" t="0" r="0" b="571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t="4976" b="-586"/>
                    <a:stretch>
                      <a:fillRect/>
                    </a:stretch>
                  </pic:blipFill>
                  <pic:spPr bwMode="auto">
                    <a:xfrm>
                      <a:off x="0" y="0"/>
                      <a:ext cx="4861827" cy="2262795"/>
                    </a:xfrm>
                    <a:prstGeom prst="rect">
                      <a:avLst/>
                    </a:prstGeom>
                    <a:noFill/>
                    <a:ln>
                      <a:noFill/>
                    </a:ln>
                  </pic:spPr>
                </pic:pic>
              </a:graphicData>
            </a:graphic>
          </wp:inline>
        </w:drawing>
      </w:r>
    </w:p>
    <w:p w:rsidR="00B163E1" w:rsidRPr="00B163E1" w:rsidRDefault="00DF128A" w:rsidP="00B163E1">
      <w:pPr>
        <w:pStyle w:val="Zkladntext2"/>
        <w:widowControl w:val="0"/>
        <w:spacing w:line="276" w:lineRule="auto"/>
        <w:rPr>
          <w:i/>
          <w:sz w:val="20"/>
          <w:szCs w:val="20"/>
        </w:rPr>
      </w:pPr>
      <w:r w:rsidRPr="00DF128A">
        <w:t xml:space="preserve">Obr. 1: Podíl TOP 10 obchodních firem na trhu s rychloobrátkovým zbožím (potravinami) v období 1993 až 2004. </w:t>
      </w:r>
      <w:r w:rsidR="00560631">
        <w:t>(z</w:t>
      </w:r>
      <w:r w:rsidR="00B163E1" w:rsidRPr="00B163E1">
        <w:rPr>
          <w:sz w:val="20"/>
          <w:szCs w:val="20"/>
        </w:rPr>
        <w:t xml:space="preserve">droj: </w:t>
      </w:r>
      <w:r w:rsidR="00B163E1" w:rsidRPr="00B163E1">
        <w:rPr>
          <w:i/>
          <w:sz w:val="20"/>
          <w:szCs w:val="20"/>
        </w:rPr>
        <w:t>Obchod v České republice v roce 2004</w:t>
      </w:r>
      <w:r w:rsidR="00560631">
        <w:rPr>
          <w:i/>
          <w:sz w:val="20"/>
          <w:szCs w:val="20"/>
        </w:rPr>
        <w:t>)</w:t>
      </w:r>
    </w:p>
    <w:p w:rsidR="004F069E" w:rsidRDefault="004F069E" w:rsidP="00F81FFE">
      <w:pPr>
        <w:pStyle w:val="Zkladntext2"/>
        <w:widowControl w:val="0"/>
        <w:spacing w:line="276" w:lineRule="auto"/>
      </w:pPr>
    </w:p>
    <w:p w:rsidR="00DF128A" w:rsidRPr="00DF128A" w:rsidRDefault="00DF128A" w:rsidP="00F81FFE">
      <w:pPr>
        <w:pStyle w:val="Zkladntext2"/>
        <w:widowControl w:val="0"/>
        <w:spacing w:line="276" w:lineRule="auto"/>
      </w:pPr>
      <w:r w:rsidRPr="00DF128A">
        <w:t>Tab. 4: TOP 10 obchodních společností v České republice v letech 2000</w:t>
      </w:r>
      <w:r w:rsidR="00560631">
        <w:t>-</w:t>
      </w:r>
      <w:r w:rsidRPr="00DF128A">
        <w:t>2005 podle obratu.</w:t>
      </w:r>
    </w:p>
    <w:p w:rsidR="00DF128A" w:rsidRPr="00DF128A" w:rsidRDefault="00DF128A" w:rsidP="00F81FFE">
      <w:pPr>
        <w:pStyle w:val="Zkladntext2"/>
        <w:widowControl w:val="0"/>
        <w:spacing w:line="276" w:lineRule="auto"/>
      </w:pPr>
      <w:r w:rsidRPr="00DF128A">
        <w:rPr>
          <w:noProof/>
        </w:rPr>
        <w:drawing>
          <wp:inline distT="0" distB="0" distL="0" distR="0" wp14:anchorId="4AD5D284" wp14:editId="07F9FF47">
            <wp:extent cx="4125433" cy="5132075"/>
            <wp:effectExtent l="0" t="0" r="8890" b="0"/>
            <wp:docPr id="8" name="Obrázek 8" descr="Szczyrba2006_to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zczyrba2006_top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29637" cy="5137305"/>
                    </a:xfrm>
                    <a:prstGeom prst="rect">
                      <a:avLst/>
                    </a:prstGeom>
                    <a:noFill/>
                    <a:ln>
                      <a:noFill/>
                    </a:ln>
                  </pic:spPr>
                </pic:pic>
              </a:graphicData>
            </a:graphic>
          </wp:inline>
        </w:drawing>
      </w:r>
    </w:p>
    <w:p w:rsidR="00DF128A" w:rsidRPr="00DF128A" w:rsidRDefault="00DF128A" w:rsidP="00F81FFE">
      <w:pPr>
        <w:pStyle w:val="Zkladntext2"/>
        <w:widowControl w:val="0"/>
        <w:spacing w:line="276" w:lineRule="auto"/>
      </w:pPr>
      <w:r w:rsidRPr="00DF128A">
        <w:t>zdroj: Szczyrba 2006</w:t>
      </w:r>
    </w:p>
    <w:p w:rsidR="00DF128A" w:rsidRPr="00DF128A" w:rsidRDefault="00DF128A" w:rsidP="00DF128A">
      <w:pPr>
        <w:pStyle w:val="Zkladntext2"/>
        <w:widowControl w:val="0"/>
        <w:spacing w:line="276" w:lineRule="auto"/>
        <w:ind w:firstLine="709"/>
      </w:pPr>
    </w:p>
    <w:p w:rsidR="00DF128A" w:rsidRPr="00DF128A" w:rsidRDefault="00DF128A" w:rsidP="00DF128A">
      <w:pPr>
        <w:pStyle w:val="Zkladntext2"/>
        <w:widowControl w:val="0"/>
        <w:spacing w:line="276" w:lineRule="auto"/>
        <w:ind w:firstLine="709"/>
      </w:pPr>
      <w:r w:rsidRPr="00DF128A">
        <w:t>Koncentraci provozních jednotek můžeme sledovat při absenci úplných dat</w:t>
      </w:r>
      <w:r w:rsidR="00B163E1">
        <w:t xml:space="preserve"> o prodejní ploše</w:t>
      </w:r>
      <w:r w:rsidRPr="00DF128A">
        <w:t xml:space="preserve"> jen nepřímo, třeba prostřednictvím rozvoje velkoformátových jednotek jako jsou hypermarkety a nákupní centra. Například řetězce Carrefour a Globus, které k nám přišly během roku 1996, vybudovaly do počátku roku 2006 hypermarketové sítě čítající 11, resp. 10 jednotek o celkové rozloze 97 800 m</w:t>
      </w:r>
      <w:r w:rsidRPr="00DF128A">
        <w:rPr>
          <w:vertAlign w:val="superscript"/>
        </w:rPr>
        <w:t xml:space="preserve">2 </w:t>
      </w:r>
      <w:r w:rsidRPr="00DF128A">
        <w:t>a 120 tisíc m</w:t>
      </w:r>
      <w:r w:rsidRPr="00DF128A">
        <w:rPr>
          <w:vertAlign w:val="superscript"/>
        </w:rPr>
        <w:t>2</w:t>
      </w:r>
      <w:r w:rsidRPr="00DF128A">
        <w:t>. Nákupní centra u nás začala vznikat po roce 1998 a za 7 let jich již 21 překročilo hranici 20 tisíc m</w:t>
      </w:r>
      <w:r w:rsidRPr="00DF128A">
        <w:rPr>
          <w:vertAlign w:val="superscript"/>
        </w:rPr>
        <w:t>2</w:t>
      </w:r>
      <w:r w:rsidRPr="00DF128A">
        <w:t xml:space="preserve"> prodejní plochy. (Cimler – Zadražiloví 2007) Jednoznačná dominance zahraničních řetězců je patrná v rámci struktury TOP 10 (tab. 4). Jediná česká firma, která se zde pravidelně umisťuje je společnost Geco Tabák, a. s. provozující podejny tiskovin a tabáku. Za povšimnutí také stojí velký nástup německých řetězců ke konci 90 let, který se vysvětluje nasycením trhu v bývalé NDR. (Szczyrba 2005) Diverzifikace se projevuje na našem trhu nepřímo a je výsledkem změn v celkové strategii celého mezinárodní společnosti. Příkladem může být sloučení supermarketů Mana a diskontních supermarketů Sezam pod jednotnou značku Albert v rámci společnosti Ahold. Projevem dominance řetězců na našem trhu je obecně známý problém vyjednávání cen s dodavateli či různé poplatky v podobě tzv. regálného.</w:t>
      </w:r>
    </w:p>
    <w:p w:rsidR="00DF128A" w:rsidRPr="00DF128A" w:rsidRDefault="00DF128A" w:rsidP="00DF128A">
      <w:pPr>
        <w:pStyle w:val="Zkladntext2"/>
        <w:widowControl w:val="0"/>
        <w:spacing w:line="276" w:lineRule="auto"/>
        <w:ind w:firstLine="709"/>
      </w:pPr>
    </w:p>
    <w:p w:rsidR="00DF128A" w:rsidRPr="00DF128A" w:rsidRDefault="00DF128A" w:rsidP="00F81FFE">
      <w:pPr>
        <w:pStyle w:val="Zkladntext2"/>
        <w:widowControl w:val="0"/>
        <w:spacing w:line="276" w:lineRule="auto"/>
      </w:pPr>
      <w:r w:rsidRPr="00DF128A">
        <w:rPr>
          <w:noProof/>
        </w:rPr>
        <w:drawing>
          <wp:inline distT="0" distB="0" distL="0" distR="0" wp14:anchorId="1CC2FACC" wp14:editId="7F1C19D4">
            <wp:extent cx="2381250" cy="1657350"/>
            <wp:effectExtent l="0" t="0" r="0" b="0"/>
            <wp:docPr id="7" name="Obrázek 7" descr="tesco_vyhodny_nak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esco_vyhodny_naku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81250" cy="1657350"/>
                    </a:xfrm>
                    <a:prstGeom prst="rect">
                      <a:avLst/>
                    </a:prstGeom>
                    <a:noFill/>
                    <a:ln>
                      <a:noFill/>
                    </a:ln>
                  </pic:spPr>
                </pic:pic>
              </a:graphicData>
            </a:graphic>
          </wp:inline>
        </w:drawing>
      </w:r>
      <w:r w:rsidRPr="00DF128A">
        <w:t xml:space="preserve">     </w:t>
      </w:r>
      <w:r w:rsidRPr="00DF128A">
        <w:rPr>
          <w:noProof/>
        </w:rPr>
        <w:drawing>
          <wp:inline distT="0" distB="0" distL="0" distR="0" wp14:anchorId="7417E348" wp14:editId="5377385E">
            <wp:extent cx="2381250" cy="1647825"/>
            <wp:effectExtent l="0" t="0" r="0" b="9525"/>
            <wp:docPr id="6" name="Obrázek 6" descr="tesco_stand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esco_standar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81250" cy="1647825"/>
                    </a:xfrm>
                    <a:prstGeom prst="rect">
                      <a:avLst/>
                    </a:prstGeom>
                    <a:noFill/>
                    <a:ln>
                      <a:noFill/>
                    </a:ln>
                  </pic:spPr>
                </pic:pic>
              </a:graphicData>
            </a:graphic>
          </wp:inline>
        </w:drawing>
      </w:r>
    </w:p>
    <w:p w:rsidR="00DF128A" w:rsidRPr="00DF128A" w:rsidRDefault="00DF128A" w:rsidP="00F81FFE">
      <w:pPr>
        <w:pStyle w:val="Zkladntext2"/>
        <w:widowControl w:val="0"/>
        <w:spacing w:line="276" w:lineRule="auto"/>
      </w:pPr>
      <w:r w:rsidRPr="00DF128A">
        <w:t>Obr. 2: Příklady výrobků prodávaných pod privátními značkami řetězce Tesco.</w:t>
      </w:r>
    </w:p>
    <w:p w:rsidR="00B163E1" w:rsidRPr="00B163E1" w:rsidRDefault="00B163E1" w:rsidP="00B163E1">
      <w:pPr>
        <w:pStyle w:val="Zkladntext2"/>
        <w:widowControl w:val="0"/>
        <w:spacing w:line="276" w:lineRule="auto"/>
        <w:rPr>
          <w:sz w:val="20"/>
          <w:szCs w:val="20"/>
        </w:rPr>
      </w:pPr>
      <w:r w:rsidRPr="00B163E1">
        <w:rPr>
          <w:sz w:val="20"/>
          <w:szCs w:val="20"/>
        </w:rPr>
        <w:t>zdroj:</w:t>
      </w:r>
      <w:r w:rsidRPr="00B163E1">
        <w:rPr>
          <w:i/>
          <w:sz w:val="20"/>
          <w:szCs w:val="20"/>
        </w:rPr>
        <w:t xml:space="preserve"> Kamworld</w:t>
      </w:r>
    </w:p>
    <w:p w:rsidR="00DF128A" w:rsidRPr="00DF128A" w:rsidRDefault="00DF128A" w:rsidP="00DF128A">
      <w:pPr>
        <w:pStyle w:val="Zkladntext2"/>
        <w:widowControl w:val="0"/>
        <w:spacing w:line="276" w:lineRule="auto"/>
        <w:ind w:firstLine="709"/>
      </w:pPr>
    </w:p>
    <w:p w:rsidR="00DF128A" w:rsidRPr="00DF128A" w:rsidRDefault="00DF128A" w:rsidP="00DF128A">
      <w:pPr>
        <w:pStyle w:val="Zkladntext2"/>
        <w:widowControl w:val="0"/>
        <w:spacing w:line="276" w:lineRule="auto"/>
        <w:ind w:firstLine="709"/>
      </w:pPr>
      <w:r w:rsidRPr="00DF128A">
        <w:t>Na pomezí dominance a snahou udržet si zákazníka stojí výrobky vytvořené na objednávku řetězce a prodávané pod privátními značkami</w:t>
      </w:r>
      <w:r w:rsidRPr="00DF128A">
        <w:rPr>
          <w:rStyle w:val="Znakapoznpodarou"/>
        </w:rPr>
        <w:footnoteReference w:id="13"/>
      </w:r>
      <w:r w:rsidRPr="00DF128A">
        <w:t>. Řetězce se snaží takto splnit volání svého zákazníka po kvalitě (na míru) za přijatelnou cenu. Jinou snahou udržet si zákazníky jsou věrnostní systémy a odměna pravidelných zákazníků prostřednictvím různých poukázek a soutěží. Tvrdší formu boje o zákazníka jsou různé nabídky vrácení peněz v případě, že zákazník koupí výrobek v jiném obchodě za lepší cenu a podobně. Ovšem nejmarkantnějším znakem vyhroceného boje je ústup některých řetězců z našeho trhu. Pokud nepočítáme Kmart, který byl jistou výjimkou, tak první větších prodeje na poli obchodu potravinami se uskutečnili v roce 2006, kdy zmizly sítě Edeka, Carrefour a Julius Meinl. Následovala v roce 2007 Delvita (viz tab. 4). Poslední formou globalizačních tendencí maloobchodu jsou nové formy prodeje, ovšem tato oblast maloobchodu není předmětem mé práce.</w:t>
      </w:r>
    </w:p>
    <w:p w:rsidR="004F069E" w:rsidRDefault="004F069E" w:rsidP="004F069E">
      <w:pPr>
        <w:pStyle w:val="Nadpis1"/>
        <w:ind w:firstLine="0"/>
        <w:jc w:val="left"/>
        <w:rPr>
          <w:b w:val="0"/>
          <w:bCs w:val="0"/>
        </w:rPr>
      </w:pPr>
      <w:bookmarkStart w:id="28" w:name="_Toc301255439"/>
    </w:p>
    <w:p w:rsidR="00DF128A" w:rsidRPr="00DF128A" w:rsidRDefault="00F81FFE" w:rsidP="004F069E">
      <w:pPr>
        <w:pStyle w:val="Nadpis1"/>
        <w:ind w:firstLine="0"/>
        <w:jc w:val="left"/>
      </w:pPr>
      <w:bookmarkStart w:id="29" w:name="_Toc331023966"/>
      <w:r>
        <w:lastRenderedPageBreak/>
        <w:t>Místo závěru pohled do budoucna</w:t>
      </w:r>
      <w:bookmarkEnd w:id="28"/>
      <w:bookmarkEnd w:id="29"/>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V současné době je více než jasné, že úroveň globalizace českého maloobchodu již snese srovnání se západními zeměmi. Jestli je to věc pozitivní, či nikoliv je otázkou, na kterou neexistuje jednoznačná odpověď. Jisté je, že změny, které probíhaly v posledních 20 letech, budou pokračovat i nadále. Na přesycenost a velkou konkurenci na našem současném trhu poukazuje ohlášený další odchod řetězce Penny Discount a převod jeho provozoven na konkurenční Penny Market. Na druhou stranu některé jiné společnosti své sítě rychle rozvíjejí a expandují především do menších měst prostřednictvím středních a menších prodejen</w:t>
      </w:r>
      <w:r w:rsidRPr="00DF128A">
        <w:rPr>
          <w:rStyle w:val="Znakapoznpodarou"/>
          <w:rFonts w:ascii="Times New Roman" w:hAnsi="Times New Roman" w:cs="Times New Roman"/>
          <w:sz w:val="24"/>
          <w:szCs w:val="24"/>
        </w:rPr>
        <w:footnoteReference w:id="14"/>
      </w:r>
      <w:r w:rsidRPr="00DF128A">
        <w:rPr>
          <w:rFonts w:ascii="Times New Roman" w:hAnsi="Times New Roman" w:cs="Times New Roman"/>
          <w:sz w:val="24"/>
          <w:szCs w:val="24"/>
        </w:rPr>
        <w:t>. I v dnešní době se najdou firmy, které teprve vstupují či plánují vstup na tuzemský trh. Jde ale téměř vždy o formáty nabízející nepotravinářský sortiment jako je třeba drogistický Schlecker. Výjimkou, která ukazuje, že na našem trhu mohou existovat skulinky, může být vstup řetězce Žabka na počátku dubna 2008, který se chce specializovat na malé prodejny potravin a základních potřeb typu večerka. V nejbližší době se dá očekávat setrvalý rozvoj velkých obchodních center a následně i jejich menších regionálních obdob a částečný úpadek, v současnosti velmi oblíbených, hypermarketů (viz obr. 3). Všechny tyto tendence ukazují na další globalizaci.</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F81FFE">
      <w:pPr>
        <w:pStyle w:val="Zkladntext2"/>
        <w:widowControl w:val="0"/>
        <w:spacing w:line="276" w:lineRule="auto"/>
      </w:pPr>
      <w:r w:rsidRPr="00DF128A">
        <w:rPr>
          <w:noProof/>
        </w:rPr>
        <w:drawing>
          <wp:inline distT="0" distB="0" distL="0" distR="0" wp14:anchorId="1FBA47B1" wp14:editId="485D0719">
            <wp:extent cx="4695825" cy="2438400"/>
            <wp:effectExtent l="0" t="0" r="0" b="0"/>
            <wp:docPr id="5" name="Graf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DF128A" w:rsidRPr="00DF128A" w:rsidRDefault="00DF128A" w:rsidP="00F81FFE">
      <w:pPr>
        <w:pStyle w:val="Zkladntext2"/>
        <w:widowControl w:val="0"/>
        <w:spacing w:line="276" w:lineRule="auto"/>
      </w:pPr>
      <w:r w:rsidRPr="00DF128A">
        <w:t xml:space="preserve">Obr. 3 Vývoj preferencí nakupujících potraviny podle jednotlivých druhů obchodu. </w:t>
      </w:r>
    </w:p>
    <w:p w:rsidR="00B163E1" w:rsidRPr="00B163E1" w:rsidRDefault="00B163E1" w:rsidP="00B163E1">
      <w:pPr>
        <w:pStyle w:val="Zkladntext2"/>
        <w:widowControl w:val="0"/>
        <w:spacing w:line="276" w:lineRule="auto"/>
        <w:rPr>
          <w:i/>
          <w:sz w:val="20"/>
          <w:szCs w:val="20"/>
        </w:rPr>
      </w:pPr>
      <w:r w:rsidRPr="00B163E1">
        <w:rPr>
          <w:sz w:val="20"/>
          <w:szCs w:val="20"/>
        </w:rPr>
        <w:t xml:space="preserve">zdroj: </w:t>
      </w:r>
      <w:r w:rsidRPr="00B163E1">
        <w:rPr>
          <w:i/>
          <w:sz w:val="20"/>
          <w:szCs w:val="20"/>
        </w:rPr>
        <w:t>Obchod v České republice v roce 2005</w:t>
      </w:r>
    </w:p>
    <w:p w:rsidR="00DF128A" w:rsidRPr="00DF128A" w:rsidRDefault="00DF128A" w:rsidP="00DF128A">
      <w:pPr>
        <w:pStyle w:val="Zpat"/>
        <w:widowControl w:val="0"/>
        <w:tabs>
          <w:tab w:val="clear" w:pos="4536"/>
          <w:tab w:val="clear" w:pos="9072"/>
        </w:tabs>
        <w:spacing w:line="276" w:lineRule="auto"/>
        <w:ind w:firstLine="709"/>
        <w:jc w:val="both"/>
      </w:pPr>
      <w:r w:rsidRPr="00DF128A">
        <w:tab/>
      </w:r>
    </w:p>
    <w:p w:rsidR="00F81FFE" w:rsidRDefault="00DF128A" w:rsidP="00F81FFE">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Globalizace maloobchodu k nám nepřinesla jenom pozitiva. Od konce minulého tisíciletí jsou stále častěji připomínány problémy, které sebou příhod mezinárodních společností přináší. Kritika se týká dvou základnách oblastí. Jednak jsou to problémy spojené s konkrétními stavbami, kdy lidé protestují proti zvýšenému hluku, či kácení zeleně a jiným a jednak to jsou obecnější výtky nad přesyceností trhu, nepříznivým vlivem na životní styl, či sterilností prodejních ploch</w:t>
      </w:r>
      <w:r w:rsidRPr="00DF128A">
        <w:rPr>
          <w:rStyle w:val="Znakapoznpodarou"/>
          <w:rFonts w:ascii="Times New Roman" w:hAnsi="Times New Roman" w:cs="Times New Roman"/>
          <w:sz w:val="24"/>
          <w:szCs w:val="24"/>
        </w:rPr>
        <w:footnoteReference w:id="15"/>
      </w:r>
      <w:r w:rsidRPr="00DF128A">
        <w:rPr>
          <w:rFonts w:ascii="Times New Roman" w:hAnsi="Times New Roman" w:cs="Times New Roman"/>
          <w:sz w:val="24"/>
          <w:szCs w:val="24"/>
        </w:rPr>
        <w:t>. Tyto problémy se v západních zemích již řeší různými omezeními na úrovni územního plánování jako třeba u velikosti obchodů (ve Franci), či jejich umístěním (ve Velké Británii), či omezením otevírací doby (v Rakousku a Německu). Zda a za jak dlouho se podaří nějaká podobná opatření prosadit i u nás se teprve uvidí.</w:t>
      </w:r>
    </w:p>
    <w:p w:rsidR="00DF128A" w:rsidRPr="00DF128A" w:rsidRDefault="00DF128A" w:rsidP="00F81FFE">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lastRenderedPageBreak/>
        <w:t>„2020 – pravděpodobně 5 – 7 největších hráčů bede mít v maloobchodě 70% tržní podíl v největších zemích – buď přímo, nebo prostřednictvím rizikového kapitálu.“</w:t>
      </w:r>
      <w:r w:rsidRPr="00DF128A">
        <w:rPr>
          <w:rFonts w:ascii="Times New Roman" w:hAnsi="Times New Roman" w:cs="Times New Roman"/>
          <w:b/>
          <w:bCs/>
          <w:sz w:val="24"/>
          <w:szCs w:val="24"/>
        </w:rPr>
        <w:t>…</w:t>
      </w:r>
      <w:r w:rsidR="00F81FFE">
        <w:rPr>
          <w:rFonts w:ascii="Times New Roman" w:hAnsi="Times New Roman" w:cs="Times New Roman"/>
          <w:b/>
          <w:bCs/>
          <w:sz w:val="24"/>
          <w:szCs w:val="24"/>
        </w:rPr>
        <w:t xml:space="preserve"> </w:t>
      </w:r>
      <w:r w:rsidRPr="00DF128A">
        <w:rPr>
          <w:rFonts w:ascii="Times New Roman" w:hAnsi="Times New Roman" w:cs="Times New Roman"/>
          <w:sz w:val="24"/>
          <w:szCs w:val="24"/>
        </w:rPr>
        <w:t>(Cimler</w:t>
      </w:r>
      <w:r w:rsidR="00E022A5">
        <w:rPr>
          <w:rFonts w:ascii="Times New Roman" w:hAnsi="Times New Roman" w:cs="Times New Roman"/>
          <w:sz w:val="24"/>
          <w:szCs w:val="24"/>
        </w:rPr>
        <w:t>,</w:t>
      </w:r>
      <w:r w:rsidRPr="00DF128A">
        <w:rPr>
          <w:rFonts w:ascii="Times New Roman" w:hAnsi="Times New Roman" w:cs="Times New Roman"/>
          <w:sz w:val="24"/>
          <w:szCs w:val="24"/>
        </w:rPr>
        <w:t xml:space="preserve"> Zadražilová 2007)</w:t>
      </w:r>
    </w:p>
    <w:p w:rsidR="00DF128A" w:rsidRPr="00DF128A" w:rsidRDefault="00DF128A" w:rsidP="00DF128A">
      <w:pPr>
        <w:widowControl w:val="0"/>
        <w:spacing w:line="276" w:lineRule="auto"/>
        <w:ind w:firstLine="709"/>
        <w:jc w:val="both"/>
        <w:rPr>
          <w:rFonts w:ascii="Times New Roman" w:hAnsi="Times New Roman" w:cs="Times New Roman"/>
          <w:b/>
          <w:bCs/>
          <w:sz w:val="24"/>
          <w:szCs w:val="24"/>
        </w:rPr>
      </w:pPr>
    </w:p>
    <w:p w:rsidR="00DF128A" w:rsidRPr="00DF128A" w:rsidRDefault="004D6CBB" w:rsidP="00F81FFE">
      <w:pPr>
        <w:widowControl w:val="0"/>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LITERATURA A ZDROJE</w:t>
      </w:r>
    </w:p>
    <w:p w:rsidR="00DF128A" w:rsidRPr="00B163E1" w:rsidRDefault="00DF128A" w:rsidP="00B163E1">
      <w:pPr>
        <w:widowControl w:val="0"/>
        <w:spacing w:after="120" w:line="276" w:lineRule="auto"/>
        <w:jc w:val="both"/>
        <w:rPr>
          <w:rFonts w:ascii="Times New Roman" w:hAnsi="Times New Roman" w:cs="Times New Roman"/>
          <w:iCs/>
          <w:sz w:val="20"/>
          <w:szCs w:val="20"/>
        </w:rPr>
      </w:pPr>
      <w:r w:rsidRPr="00B163E1">
        <w:rPr>
          <w:rFonts w:ascii="Times New Roman" w:hAnsi="Times New Roman" w:cs="Times New Roman"/>
          <w:iCs/>
          <w:sz w:val="20"/>
          <w:szCs w:val="20"/>
        </w:rPr>
        <w:t>Cimler, P. a kol.</w:t>
      </w:r>
      <w:r w:rsidR="004D6CBB">
        <w:rPr>
          <w:rFonts w:ascii="Times New Roman" w:hAnsi="Times New Roman" w:cs="Times New Roman"/>
          <w:iCs/>
          <w:sz w:val="20"/>
          <w:szCs w:val="20"/>
        </w:rPr>
        <w:t xml:space="preserve"> (2001):</w:t>
      </w:r>
      <w:r w:rsidRPr="00B163E1">
        <w:rPr>
          <w:rFonts w:ascii="Times New Roman" w:hAnsi="Times New Roman" w:cs="Times New Roman"/>
          <w:iCs/>
          <w:sz w:val="20"/>
          <w:szCs w:val="20"/>
        </w:rPr>
        <w:t xml:space="preserve"> </w:t>
      </w:r>
      <w:r w:rsidRPr="004D6CBB">
        <w:rPr>
          <w:rFonts w:ascii="Times New Roman" w:hAnsi="Times New Roman" w:cs="Times New Roman"/>
          <w:i/>
          <w:iCs/>
          <w:sz w:val="20"/>
          <w:szCs w:val="20"/>
        </w:rPr>
        <w:t>Obchod a služby. Studijní text pro distanční studium</w:t>
      </w:r>
      <w:r w:rsidRPr="00B163E1">
        <w:rPr>
          <w:rFonts w:ascii="Times New Roman" w:hAnsi="Times New Roman" w:cs="Times New Roman"/>
          <w:iCs/>
          <w:sz w:val="20"/>
          <w:szCs w:val="20"/>
        </w:rPr>
        <w:t>. Plzeň: Západočeská univerzita</w:t>
      </w:r>
      <w:r w:rsidR="004D6CBB">
        <w:rPr>
          <w:rFonts w:ascii="Times New Roman" w:hAnsi="Times New Roman" w:cs="Times New Roman"/>
          <w:iCs/>
          <w:sz w:val="20"/>
          <w:szCs w:val="20"/>
        </w:rPr>
        <w:t>.</w:t>
      </w:r>
    </w:p>
    <w:p w:rsidR="00DF128A" w:rsidRPr="00B163E1" w:rsidRDefault="00DF128A" w:rsidP="00B163E1">
      <w:pPr>
        <w:widowControl w:val="0"/>
        <w:spacing w:after="120" w:line="276" w:lineRule="auto"/>
        <w:jc w:val="both"/>
        <w:rPr>
          <w:rFonts w:ascii="Times New Roman" w:hAnsi="Times New Roman" w:cs="Times New Roman"/>
          <w:iCs/>
          <w:sz w:val="20"/>
          <w:szCs w:val="20"/>
        </w:rPr>
      </w:pPr>
      <w:r w:rsidRPr="00B163E1">
        <w:rPr>
          <w:rFonts w:ascii="Times New Roman" w:hAnsi="Times New Roman" w:cs="Times New Roman"/>
          <w:iCs/>
          <w:sz w:val="20"/>
          <w:szCs w:val="20"/>
        </w:rPr>
        <w:t>Cimler, P. – Zadražilová, D. a kol.</w:t>
      </w:r>
      <w:r w:rsidR="004D6CBB">
        <w:rPr>
          <w:rFonts w:ascii="Times New Roman" w:hAnsi="Times New Roman" w:cs="Times New Roman"/>
          <w:iCs/>
          <w:sz w:val="20"/>
          <w:szCs w:val="20"/>
        </w:rPr>
        <w:t xml:space="preserve"> (2007):</w:t>
      </w:r>
      <w:r w:rsidRPr="00B163E1">
        <w:rPr>
          <w:rFonts w:ascii="Times New Roman" w:hAnsi="Times New Roman" w:cs="Times New Roman"/>
          <w:iCs/>
          <w:sz w:val="20"/>
          <w:szCs w:val="20"/>
        </w:rPr>
        <w:t xml:space="preserve"> </w:t>
      </w:r>
      <w:r w:rsidRPr="004D6CBB">
        <w:rPr>
          <w:rFonts w:ascii="Times New Roman" w:hAnsi="Times New Roman" w:cs="Times New Roman"/>
          <w:i/>
          <w:iCs/>
          <w:sz w:val="20"/>
          <w:szCs w:val="20"/>
        </w:rPr>
        <w:t>R</w:t>
      </w:r>
      <w:r w:rsidR="004D6CBB" w:rsidRPr="004D6CBB">
        <w:rPr>
          <w:rFonts w:ascii="Times New Roman" w:hAnsi="Times New Roman" w:cs="Times New Roman"/>
          <w:i/>
          <w:iCs/>
          <w:sz w:val="20"/>
          <w:szCs w:val="20"/>
        </w:rPr>
        <w:t>e</w:t>
      </w:r>
      <w:r w:rsidRPr="004D6CBB">
        <w:rPr>
          <w:rFonts w:ascii="Times New Roman" w:hAnsi="Times New Roman" w:cs="Times New Roman"/>
          <w:i/>
          <w:iCs/>
          <w:sz w:val="20"/>
          <w:szCs w:val="20"/>
        </w:rPr>
        <w:t>tail management</w:t>
      </w:r>
      <w:r w:rsidRPr="00B163E1">
        <w:rPr>
          <w:rFonts w:ascii="Times New Roman" w:hAnsi="Times New Roman" w:cs="Times New Roman"/>
          <w:iCs/>
          <w:sz w:val="20"/>
          <w:szCs w:val="20"/>
        </w:rPr>
        <w:t>. Praha: Management press</w:t>
      </w:r>
      <w:r w:rsidR="004D6CBB">
        <w:rPr>
          <w:rFonts w:ascii="Times New Roman" w:hAnsi="Times New Roman" w:cs="Times New Roman"/>
          <w:iCs/>
          <w:sz w:val="20"/>
          <w:szCs w:val="20"/>
        </w:rPr>
        <w:t>.</w:t>
      </w:r>
    </w:p>
    <w:p w:rsidR="00DF128A" w:rsidRPr="00B163E1" w:rsidRDefault="00DF128A" w:rsidP="00B163E1">
      <w:pPr>
        <w:widowControl w:val="0"/>
        <w:spacing w:after="120" w:line="276" w:lineRule="auto"/>
        <w:jc w:val="both"/>
        <w:rPr>
          <w:rFonts w:ascii="Times New Roman" w:hAnsi="Times New Roman" w:cs="Times New Roman"/>
          <w:iCs/>
          <w:sz w:val="20"/>
          <w:szCs w:val="20"/>
        </w:rPr>
      </w:pPr>
      <w:r w:rsidRPr="00B163E1">
        <w:rPr>
          <w:rFonts w:ascii="Times New Roman" w:hAnsi="Times New Roman" w:cs="Times New Roman"/>
          <w:iCs/>
          <w:sz w:val="20"/>
          <w:szCs w:val="20"/>
        </w:rPr>
        <w:t>Pražská, L. a kol.</w:t>
      </w:r>
      <w:r w:rsidR="004D6CBB">
        <w:rPr>
          <w:rFonts w:ascii="Times New Roman" w:hAnsi="Times New Roman" w:cs="Times New Roman"/>
          <w:iCs/>
          <w:sz w:val="20"/>
          <w:szCs w:val="20"/>
        </w:rPr>
        <w:t xml:space="preserve"> (2000):</w:t>
      </w:r>
      <w:r w:rsidRPr="00B163E1">
        <w:rPr>
          <w:rFonts w:ascii="Times New Roman" w:hAnsi="Times New Roman" w:cs="Times New Roman"/>
          <w:iCs/>
          <w:sz w:val="20"/>
          <w:szCs w:val="20"/>
        </w:rPr>
        <w:t xml:space="preserve"> </w:t>
      </w:r>
      <w:r w:rsidRPr="004D6CBB">
        <w:rPr>
          <w:rFonts w:ascii="Times New Roman" w:hAnsi="Times New Roman" w:cs="Times New Roman"/>
          <w:i/>
          <w:iCs/>
          <w:sz w:val="20"/>
          <w:szCs w:val="20"/>
        </w:rPr>
        <w:t>Globalizace a obchod</w:t>
      </w:r>
      <w:r w:rsidRPr="00B163E1">
        <w:rPr>
          <w:rFonts w:ascii="Times New Roman" w:hAnsi="Times New Roman" w:cs="Times New Roman"/>
          <w:iCs/>
          <w:sz w:val="20"/>
          <w:szCs w:val="20"/>
        </w:rPr>
        <w:t>. Praha: VŠE</w:t>
      </w:r>
      <w:r w:rsidR="004D6CBB">
        <w:rPr>
          <w:rFonts w:ascii="Times New Roman" w:hAnsi="Times New Roman" w:cs="Times New Roman"/>
          <w:iCs/>
          <w:sz w:val="20"/>
          <w:szCs w:val="20"/>
        </w:rPr>
        <w:t>.</w:t>
      </w:r>
    </w:p>
    <w:p w:rsidR="00DF128A" w:rsidRPr="00B163E1" w:rsidRDefault="00DF128A" w:rsidP="00B163E1">
      <w:pPr>
        <w:widowControl w:val="0"/>
        <w:spacing w:after="120" w:line="276" w:lineRule="auto"/>
        <w:jc w:val="both"/>
        <w:rPr>
          <w:rFonts w:ascii="Times New Roman" w:hAnsi="Times New Roman" w:cs="Times New Roman"/>
          <w:iCs/>
          <w:sz w:val="20"/>
          <w:szCs w:val="20"/>
        </w:rPr>
      </w:pPr>
      <w:r w:rsidRPr="00B163E1">
        <w:rPr>
          <w:rFonts w:ascii="Times New Roman" w:hAnsi="Times New Roman" w:cs="Times New Roman"/>
          <w:iCs/>
          <w:sz w:val="20"/>
          <w:szCs w:val="20"/>
        </w:rPr>
        <w:t>Starzyczná, H. – Steiner, J.</w:t>
      </w:r>
      <w:r w:rsidR="004D6CBB">
        <w:rPr>
          <w:rFonts w:ascii="Times New Roman" w:hAnsi="Times New Roman" w:cs="Times New Roman"/>
          <w:iCs/>
          <w:sz w:val="20"/>
          <w:szCs w:val="20"/>
        </w:rPr>
        <w:t xml:space="preserve"> (2000):</w:t>
      </w:r>
      <w:r w:rsidRPr="00B163E1">
        <w:rPr>
          <w:rFonts w:ascii="Times New Roman" w:hAnsi="Times New Roman" w:cs="Times New Roman"/>
          <w:iCs/>
          <w:sz w:val="20"/>
          <w:szCs w:val="20"/>
        </w:rPr>
        <w:t xml:space="preserve"> </w:t>
      </w:r>
      <w:r w:rsidRPr="004D6CBB">
        <w:rPr>
          <w:rFonts w:ascii="Times New Roman" w:hAnsi="Times New Roman" w:cs="Times New Roman"/>
          <w:i/>
          <w:iCs/>
          <w:sz w:val="20"/>
          <w:szCs w:val="20"/>
        </w:rPr>
        <w:t xml:space="preserve">Maloobchod v Českých zemích v proměnách let 1918 – 2000. </w:t>
      </w:r>
      <w:r w:rsidR="004D6CBB">
        <w:rPr>
          <w:rFonts w:ascii="Times New Roman" w:hAnsi="Times New Roman" w:cs="Times New Roman"/>
          <w:iCs/>
          <w:sz w:val="20"/>
          <w:szCs w:val="20"/>
        </w:rPr>
        <w:t>Opava</w:t>
      </w:r>
      <w:r w:rsidRPr="00B163E1">
        <w:rPr>
          <w:rFonts w:ascii="Times New Roman" w:hAnsi="Times New Roman" w:cs="Times New Roman"/>
          <w:iCs/>
          <w:sz w:val="20"/>
          <w:szCs w:val="20"/>
        </w:rPr>
        <w:t>: Slezská univerzita</w:t>
      </w:r>
      <w:r w:rsidR="004D6CBB">
        <w:rPr>
          <w:rFonts w:ascii="Times New Roman" w:hAnsi="Times New Roman" w:cs="Times New Roman"/>
          <w:iCs/>
          <w:sz w:val="20"/>
          <w:szCs w:val="20"/>
        </w:rPr>
        <w:t>.</w:t>
      </w:r>
    </w:p>
    <w:p w:rsidR="00DF128A" w:rsidRPr="00B163E1" w:rsidRDefault="00DF128A" w:rsidP="00B163E1">
      <w:pPr>
        <w:widowControl w:val="0"/>
        <w:spacing w:after="120" w:line="276" w:lineRule="auto"/>
        <w:jc w:val="both"/>
        <w:rPr>
          <w:rFonts w:ascii="Times New Roman" w:hAnsi="Times New Roman" w:cs="Times New Roman"/>
          <w:iCs/>
          <w:sz w:val="20"/>
          <w:szCs w:val="20"/>
        </w:rPr>
      </w:pPr>
      <w:r w:rsidRPr="00B163E1">
        <w:rPr>
          <w:rFonts w:ascii="Times New Roman" w:hAnsi="Times New Roman" w:cs="Times New Roman"/>
          <w:iCs/>
          <w:sz w:val="20"/>
          <w:szCs w:val="20"/>
        </w:rPr>
        <w:t>Szczyrba, Z.</w:t>
      </w:r>
      <w:r w:rsidR="004D6CBB">
        <w:rPr>
          <w:rFonts w:ascii="Times New Roman" w:hAnsi="Times New Roman" w:cs="Times New Roman"/>
          <w:iCs/>
          <w:sz w:val="20"/>
          <w:szCs w:val="20"/>
        </w:rPr>
        <w:t xml:space="preserve"> (2000):</w:t>
      </w:r>
      <w:r w:rsidRPr="00B163E1">
        <w:rPr>
          <w:rFonts w:ascii="Times New Roman" w:hAnsi="Times New Roman" w:cs="Times New Roman"/>
          <w:iCs/>
          <w:sz w:val="20"/>
          <w:szCs w:val="20"/>
        </w:rPr>
        <w:t xml:space="preserve"> </w:t>
      </w:r>
      <w:r w:rsidRPr="004D6CBB">
        <w:rPr>
          <w:rFonts w:ascii="Times New Roman" w:hAnsi="Times New Roman" w:cs="Times New Roman"/>
          <w:i/>
          <w:iCs/>
          <w:sz w:val="20"/>
          <w:szCs w:val="20"/>
        </w:rPr>
        <w:t>Transformace struktur maloobchodní sítě České republiky: (regionálně geografická analýza s důrazem na Olomoucko)</w:t>
      </w:r>
      <w:r w:rsidRPr="00B163E1">
        <w:rPr>
          <w:rFonts w:ascii="Times New Roman" w:hAnsi="Times New Roman" w:cs="Times New Roman"/>
          <w:iCs/>
          <w:sz w:val="20"/>
          <w:szCs w:val="20"/>
        </w:rPr>
        <w:t xml:space="preserve"> [rukopis]. Brno: Masarykova universita.</w:t>
      </w:r>
    </w:p>
    <w:p w:rsidR="00DF128A" w:rsidRPr="00B163E1" w:rsidRDefault="00DF128A" w:rsidP="00B163E1">
      <w:pPr>
        <w:widowControl w:val="0"/>
        <w:spacing w:after="120" w:line="276" w:lineRule="auto"/>
        <w:jc w:val="both"/>
        <w:rPr>
          <w:rFonts w:ascii="Times New Roman" w:hAnsi="Times New Roman" w:cs="Times New Roman"/>
          <w:iCs/>
          <w:sz w:val="20"/>
          <w:szCs w:val="20"/>
        </w:rPr>
      </w:pPr>
      <w:r w:rsidRPr="00B163E1">
        <w:rPr>
          <w:rFonts w:ascii="Times New Roman" w:hAnsi="Times New Roman" w:cs="Times New Roman"/>
          <w:iCs/>
          <w:sz w:val="20"/>
          <w:szCs w:val="20"/>
        </w:rPr>
        <w:t>Szczyrba, Z.</w:t>
      </w:r>
      <w:r w:rsidR="004D6CBB">
        <w:rPr>
          <w:rFonts w:ascii="Times New Roman" w:hAnsi="Times New Roman" w:cs="Times New Roman"/>
          <w:iCs/>
          <w:sz w:val="20"/>
          <w:szCs w:val="20"/>
        </w:rPr>
        <w:t xml:space="preserve"> (2005):</w:t>
      </w:r>
      <w:r w:rsidRPr="00B163E1">
        <w:rPr>
          <w:rFonts w:ascii="Times New Roman" w:hAnsi="Times New Roman" w:cs="Times New Roman"/>
          <w:iCs/>
          <w:sz w:val="20"/>
          <w:szCs w:val="20"/>
        </w:rPr>
        <w:t xml:space="preserve"> </w:t>
      </w:r>
      <w:r w:rsidRPr="004D6CBB">
        <w:rPr>
          <w:rFonts w:ascii="Times New Roman" w:hAnsi="Times New Roman" w:cs="Times New Roman"/>
          <w:i/>
          <w:iCs/>
          <w:sz w:val="20"/>
          <w:szCs w:val="20"/>
        </w:rPr>
        <w:t>Maloobchod v ČR po roce 1989: vývoj a trendy se zaměřením na geografickou organizaci.</w:t>
      </w:r>
      <w:r w:rsidRPr="00B163E1">
        <w:rPr>
          <w:rFonts w:ascii="Times New Roman" w:hAnsi="Times New Roman" w:cs="Times New Roman"/>
          <w:iCs/>
          <w:sz w:val="20"/>
          <w:szCs w:val="20"/>
        </w:rPr>
        <w:t xml:space="preserve"> Olomouc: Univerzita Palackého.</w:t>
      </w:r>
    </w:p>
    <w:p w:rsidR="00DF128A" w:rsidRPr="00B163E1" w:rsidRDefault="00DF128A" w:rsidP="00B163E1">
      <w:pPr>
        <w:widowControl w:val="0"/>
        <w:spacing w:after="120" w:line="276" w:lineRule="auto"/>
        <w:jc w:val="both"/>
        <w:rPr>
          <w:rFonts w:ascii="Times New Roman" w:hAnsi="Times New Roman" w:cs="Times New Roman"/>
          <w:iCs/>
          <w:sz w:val="20"/>
          <w:szCs w:val="20"/>
        </w:rPr>
      </w:pPr>
      <w:r w:rsidRPr="00B163E1">
        <w:rPr>
          <w:rFonts w:ascii="Times New Roman" w:hAnsi="Times New Roman" w:cs="Times New Roman"/>
          <w:iCs/>
          <w:sz w:val="20"/>
          <w:szCs w:val="20"/>
        </w:rPr>
        <w:t>Szczyrba, Z.</w:t>
      </w:r>
      <w:r w:rsidR="004D6CBB">
        <w:rPr>
          <w:rFonts w:ascii="Times New Roman" w:hAnsi="Times New Roman" w:cs="Times New Roman"/>
          <w:iCs/>
          <w:sz w:val="20"/>
          <w:szCs w:val="20"/>
        </w:rPr>
        <w:t xml:space="preserve"> (2006):</w:t>
      </w:r>
      <w:r w:rsidRPr="00B163E1">
        <w:rPr>
          <w:rFonts w:ascii="Times New Roman" w:hAnsi="Times New Roman" w:cs="Times New Roman"/>
          <w:iCs/>
          <w:sz w:val="20"/>
          <w:szCs w:val="20"/>
        </w:rPr>
        <w:t xml:space="preserve"> </w:t>
      </w:r>
      <w:r w:rsidRPr="004D6CBB">
        <w:rPr>
          <w:rFonts w:ascii="Times New Roman" w:hAnsi="Times New Roman" w:cs="Times New Roman"/>
          <w:i/>
          <w:iCs/>
          <w:sz w:val="20"/>
          <w:szCs w:val="20"/>
        </w:rPr>
        <w:t>Geografie obchodu - se zaměřením na současné trendy v maloobchodě</w:t>
      </w:r>
      <w:r w:rsidRPr="00B163E1">
        <w:rPr>
          <w:rFonts w:ascii="Times New Roman" w:hAnsi="Times New Roman" w:cs="Times New Roman"/>
          <w:iCs/>
          <w:sz w:val="20"/>
          <w:szCs w:val="20"/>
        </w:rPr>
        <w:t>. Olomouc: Univerzita Palackého.</w:t>
      </w:r>
    </w:p>
    <w:p w:rsidR="00DF128A" w:rsidRPr="004D6CBB" w:rsidRDefault="00DF128A" w:rsidP="00B163E1">
      <w:pPr>
        <w:widowControl w:val="0"/>
        <w:spacing w:after="120" w:line="276" w:lineRule="auto"/>
        <w:jc w:val="both"/>
        <w:rPr>
          <w:rFonts w:ascii="Times New Roman" w:hAnsi="Times New Roman" w:cs="Times New Roman"/>
          <w:iCs/>
          <w:sz w:val="20"/>
          <w:szCs w:val="20"/>
        </w:rPr>
      </w:pPr>
    </w:p>
    <w:p w:rsidR="00DF128A" w:rsidRPr="004D6CBB" w:rsidRDefault="00DF128A" w:rsidP="00B163E1">
      <w:pPr>
        <w:widowControl w:val="0"/>
        <w:spacing w:after="120" w:line="276" w:lineRule="auto"/>
        <w:jc w:val="both"/>
        <w:rPr>
          <w:rFonts w:ascii="Times New Roman" w:hAnsi="Times New Roman" w:cs="Times New Roman"/>
          <w:iCs/>
          <w:sz w:val="20"/>
          <w:szCs w:val="20"/>
        </w:rPr>
      </w:pPr>
      <w:r w:rsidRPr="006F0011">
        <w:rPr>
          <w:rFonts w:ascii="Times New Roman" w:hAnsi="Times New Roman" w:cs="Times New Roman"/>
          <w:i/>
          <w:iCs/>
          <w:sz w:val="20"/>
          <w:szCs w:val="20"/>
        </w:rPr>
        <w:t>Obchod v České republice v roce 2005.</w:t>
      </w:r>
      <w:r w:rsidRPr="004D6CBB">
        <w:rPr>
          <w:rFonts w:ascii="Times New Roman" w:hAnsi="Times New Roman" w:cs="Times New Roman"/>
          <w:iCs/>
          <w:sz w:val="20"/>
          <w:szCs w:val="20"/>
        </w:rPr>
        <w:t xml:space="preserve"> Ministerstvo průmyslu a obchodu, 2006</w:t>
      </w:r>
      <w:r w:rsidR="006F0011">
        <w:rPr>
          <w:rFonts w:ascii="Times New Roman" w:hAnsi="Times New Roman" w:cs="Times New Roman"/>
          <w:iCs/>
          <w:sz w:val="20"/>
          <w:szCs w:val="20"/>
        </w:rPr>
        <w:t>.</w:t>
      </w:r>
      <w:r w:rsidRPr="004D6CBB">
        <w:rPr>
          <w:rFonts w:ascii="Times New Roman" w:hAnsi="Times New Roman" w:cs="Times New Roman"/>
          <w:iCs/>
          <w:sz w:val="20"/>
          <w:szCs w:val="20"/>
        </w:rPr>
        <w:t xml:space="preserve"> </w:t>
      </w:r>
      <w:r w:rsidR="006F0011" w:rsidRPr="00DF128A">
        <w:rPr>
          <w:rFonts w:ascii="Times New Roman" w:hAnsi="Times New Roman" w:cs="Times New Roman"/>
          <w:sz w:val="20"/>
          <w:szCs w:val="20"/>
        </w:rPr>
        <w:t>[cit. 2</w:t>
      </w:r>
      <w:r w:rsidR="006F0011">
        <w:rPr>
          <w:rFonts w:ascii="Times New Roman" w:hAnsi="Times New Roman" w:cs="Times New Roman"/>
          <w:sz w:val="20"/>
          <w:szCs w:val="20"/>
        </w:rPr>
        <w:t>0</w:t>
      </w:r>
      <w:r w:rsidR="006F0011" w:rsidRPr="00DF128A">
        <w:rPr>
          <w:rFonts w:ascii="Times New Roman" w:hAnsi="Times New Roman" w:cs="Times New Roman"/>
          <w:sz w:val="20"/>
          <w:szCs w:val="20"/>
        </w:rPr>
        <w:t xml:space="preserve">. </w:t>
      </w:r>
      <w:r w:rsidR="006F0011">
        <w:rPr>
          <w:rFonts w:ascii="Times New Roman" w:hAnsi="Times New Roman" w:cs="Times New Roman"/>
          <w:sz w:val="20"/>
          <w:szCs w:val="20"/>
        </w:rPr>
        <w:t>července</w:t>
      </w:r>
      <w:r w:rsidR="006F0011" w:rsidRPr="00DF128A">
        <w:rPr>
          <w:rFonts w:ascii="Times New Roman" w:hAnsi="Times New Roman" w:cs="Times New Roman"/>
          <w:sz w:val="20"/>
          <w:szCs w:val="20"/>
        </w:rPr>
        <w:t xml:space="preserve"> 201</w:t>
      </w:r>
      <w:r w:rsidR="006F0011">
        <w:rPr>
          <w:rFonts w:ascii="Times New Roman" w:hAnsi="Times New Roman" w:cs="Times New Roman"/>
          <w:sz w:val="20"/>
          <w:szCs w:val="20"/>
        </w:rPr>
        <w:t>1</w:t>
      </w:r>
      <w:r w:rsidR="006F0011" w:rsidRPr="00DF128A">
        <w:rPr>
          <w:rFonts w:ascii="Times New Roman" w:hAnsi="Times New Roman" w:cs="Times New Roman"/>
          <w:sz w:val="20"/>
          <w:szCs w:val="20"/>
        </w:rPr>
        <w:t>]. Dostupn</w:t>
      </w:r>
      <w:r w:rsidR="006F0011">
        <w:rPr>
          <w:rFonts w:ascii="Times New Roman" w:hAnsi="Times New Roman" w:cs="Times New Roman"/>
          <w:sz w:val="20"/>
          <w:szCs w:val="20"/>
        </w:rPr>
        <w:t>ý online</w:t>
      </w:r>
      <w:r w:rsidR="006F0011" w:rsidRPr="00DF128A">
        <w:rPr>
          <w:rFonts w:ascii="Times New Roman" w:hAnsi="Times New Roman" w:cs="Times New Roman"/>
          <w:sz w:val="20"/>
          <w:szCs w:val="20"/>
        </w:rPr>
        <w:t xml:space="preserve"> </w:t>
      </w:r>
      <w:r w:rsidR="006F0011" w:rsidRPr="00A207FC">
        <w:rPr>
          <w:rFonts w:ascii="Times New Roman" w:hAnsi="Times New Roman" w:cs="Times New Roman"/>
          <w:iCs/>
          <w:sz w:val="20"/>
          <w:szCs w:val="20"/>
        </w:rPr>
        <w:t>&lt;</w:t>
      </w:r>
      <w:hyperlink r:id="rId27" w:history="1">
        <w:r w:rsidR="00B163E1" w:rsidRPr="004D6CBB">
          <w:rPr>
            <w:rFonts w:ascii="Times New Roman" w:hAnsi="Times New Roman" w:cs="Times New Roman"/>
            <w:iCs/>
            <w:sz w:val="20"/>
            <w:szCs w:val="20"/>
          </w:rPr>
          <w:t>http://download.mpo.cz/get/26623/26666/295843/priloha001.pdf</w:t>
        </w:r>
      </w:hyperlink>
      <w:r w:rsidRPr="004D6CBB">
        <w:rPr>
          <w:rFonts w:ascii="Times New Roman" w:hAnsi="Times New Roman" w:cs="Times New Roman"/>
          <w:iCs/>
          <w:sz w:val="20"/>
          <w:szCs w:val="20"/>
        </w:rPr>
        <w:t>&gt;</w:t>
      </w:r>
      <w:r w:rsidR="006F0011">
        <w:rPr>
          <w:rFonts w:ascii="Times New Roman" w:hAnsi="Times New Roman" w:cs="Times New Roman"/>
          <w:iCs/>
          <w:sz w:val="20"/>
          <w:szCs w:val="20"/>
        </w:rPr>
        <w:t>.</w:t>
      </w:r>
    </w:p>
    <w:p w:rsidR="00DF128A" w:rsidRPr="004D6CBB" w:rsidRDefault="006F0011" w:rsidP="00B163E1">
      <w:pPr>
        <w:widowControl w:val="0"/>
        <w:spacing w:after="120" w:line="276" w:lineRule="auto"/>
        <w:jc w:val="both"/>
        <w:rPr>
          <w:rFonts w:ascii="Times New Roman" w:hAnsi="Times New Roman" w:cs="Times New Roman"/>
          <w:iCs/>
          <w:sz w:val="20"/>
          <w:szCs w:val="20"/>
        </w:rPr>
      </w:pPr>
      <w:r w:rsidRPr="00DF128A">
        <w:rPr>
          <w:rFonts w:ascii="Times New Roman" w:hAnsi="Times New Roman" w:cs="Times New Roman"/>
          <w:sz w:val="20"/>
          <w:szCs w:val="20"/>
        </w:rPr>
        <w:t>[cit. 2</w:t>
      </w:r>
      <w:r>
        <w:rPr>
          <w:rFonts w:ascii="Times New Roman" w:hAnsi="Times New Roman" w:cs="Times New Roman"/>
          <w:sz w:val="20"/>
          <w:szCs w:val="20"/>
        </w:rPr>
        <w:t>0</w:t>
      </w:r>
      <w:r w:rsidRPr="00DF128A">
        <w:rPr>
          <w:rFonts w:ascii="Times New Roman" w:hAnsi="Times New Roman" w:cs="Times New Roman"/>
          <w:sz w:val="20"/>
          <w:szCs w:val="20"/>
        </w:rPr>
        <w:t xml:space="preserve">. </w:t>
      </w:r>
      <w:r>
        <w:rPr>
          <w:rFonts w:ascii="Times New Roman" w:hAnsi="Times New Roman" w:cs="Times New Roman"/>
          <w:sz w:val="20"/>
          <w:szCs w:val="20"/>
        </w:rPr>
        <w:t>července</w:t>
      </w:r>
      <w:r w:rsidRPr="00DF128A">
        <w:rPr>
          <w:rFonts w:ascii="Times New Roman" w:hAnsi="Times New Roman" w:cs="Times New Roman"/>
          <w:sz w:val="20"/>
          <w:szCs w:val="20"/>
        </w:rPr>
        <w:t xml:space="preserve"> 201</w:t>
      </w:r>
      <w:r>
        <w:rPr>
          <w:rFonts w:ascii="Times New Roman" w:hAnsi="Times New Roman" w:cs="Times New Roman"/>
          <w:sz w:val="20"/>
          <w:szCs w:val="20"/>
        </w:rPr>
        <w:t>1</w:t>
      </w:r>
      <w:r w:rsidRPr="00DF128A">
        <w:rPr>
          <w:rFonts w:ascii="Times New Roman" w:hAnsi="Times New Roman" w:cs="Times New Roman"/>
          <w:sz w:val="20"/>
          <w:szCs w:val="20"/>
        </w:rPr>
        <w:t>]. Dostupn</w:t>
      </w:r>
      <w:r>
        <w:rPr>
          <w:rFonts w:ascii="Times New Roman" w:hAnsi="Times New Roman" w:cs="Times New Roman"/>
          <w:sz w:val="20"/>
          <w:szCs w:val="20"/>
        </w:rPr>
        <w:t>ý online</w:t>
      </w:r>
      <w:r w:rsidRPr="00DF128A">
        <w:rPr>
          <w:rFonts w:ascii="Times New Roman" w:hAnsi="Times New Roman" w:cs="Times New Roman"/>
          <w:sz w:val="20"/>
          <w:szCs w:val="20"/>
        </w:rPr>
        <w:t xml:space="preserve"> </w:t>
      </w:r>
      <w:r w:rsidRPr="00A207FC">
        <w:rPr>
          <w:rFonts w:ascii="Times New Roman" w:hAnsi="Times New Roman" w:cs="Times New Roman"/>
          <w:iCs/>
          <w:sz w:val="20"/>
          <w:szCs w:val="20"/>
        </w:rPr>
        <w:t>&lt;</w:t>
      </w:r>
      <w:hyperlink r:id="rId28" w:history="1">
        <w:r w:rsidR="00DF128A" w:rsidRPr="004D6CBB">
          <w:rPr>
            <w:rFonts w:ascii="Times New Roman" w:hAnsi="Times New Roman" w:cs="Times New Roman"/>
            <w:iCs/>
            <w:sz w:val="20"/>
            <w:szCs w:val="20"/>
          </w:rPr>
          <w:t>www.hyper.cz</w:t>
        </w:r>
      </w:hyperlink>
      <w:r>
        <w:rPr>
          <w:rFonts w:ascii="Times New Roman" w:hAnsi="Times New Roman" w:cs="Times New Roman"/>
          <w:iCs/>
          <w:sz w:val="20"/>
          <w:szCs w:val="20"/>
        </w:rPr>
        <w:t>&gt;</w:t>
      </w:r>
      <w:r w:rsidRPr="00A207FC">
        <w:rPr>
          <w:rFonts w:ascii="Times New Roman" w:hAnsi="Times New Roman" w:cs="Times New Roman"/>
          <w:iCs/>
          <w:sz w:val="20"/>
          <w:szCs w:val="20"/>
        </w:rPr>
        <w:t>.</w:t>
      </w:r>
    </w:p>
    <w:p w:rsidR="00DF128A" w:rsidRPr="004D6CBB" w:rsidRDefault="006F0011" w:rsidP="00B163E1">
      <w:pPr>
        <w:widowControl w:val="0"/>
        <w:spacing w:after="120" w:line="276" w:lineRule="auto"/>
        <w:jc w:val="both"/>
        <w:rPr>
          <w:rFonts w:ascii="Times New Roman" w:hAnsi="Times New Roman" w:cs="Times New Roman"/>
          <w:iCs/>
          <w:sz w:val="20"/>
          <w:szCs w:val="20"/>
        </w:rPr>
      </w:pPr>
      <w:r w:rsidRPr="00DF128A">
        <w:rPr>
          <w:rFonts w:ascii="Times New Roman" w:hAnsi="Times New Roman" w:cs="Times New Roman"/>
          <w:sz w:val="20"/>
          <w:szCs w:val="20"/>
        </w:rPr>
        <w:t>[cit. 2</w:t>
      </w:r>
      <w:r>
        <w:rPr>
          <w:rFonts w:ascii="Times New Roman" w:hAnsi="Times New Roman" w:cs="Times New Roman"/>
          <w:sz w:val="20"/>
          <w:szCs w:val="20"/>
        </w:rPr>
        <w:t>0</w:t>
      </w:r>
      <w:r w:rsidRPr="00DF128A">
        <w:rPr>
          <w:rFonts w:ascii="Times New Roman" w:hAnsi="Times New Roman" w:cs="Times New Roman"/>
          <w:sz w:val="20"/>
          <w:szCs w:val="20"/>
        </w:rPr>
        <w:t xml:space="preserve">. </w:t>
      </w:r>
      <w:r>
        <w:rPr>
          <w:rFonts w:ascii="Times New Roman" w:hAnsi="Times New Roman" w:cs="Times New Roman"/>
          <w:sz w:val="20"/>
          <w:szCs w:val="20"/>
        </w:rPr>
        <w:t>července</w:t>
      </w:r>
      <w:r w:rsidRPr="00DF128A">
        <w:rPr>
          <w:rFonts w:ascii="Times New Roman" w:hAnsi="Times New Roman" w:cs="Times New Roman"/>
          <w:sz w:val="20"/>
          <w:szCs w:val="20"/>
        </w:rPr>
        <w:t xml:space="preserve"> 201</w:t>
      </w:r>
      <w:r>
        <w:rPr>
          <w:rFonts w:ascii="Times New Roman" w:hAnsi="Times New Roman" w:cs="Times New Roman"/>
          <w:sz w:val="20"/>
          <w:szCs w:val="20"/>
        </w:rPr>
        <w:t>1</w:t>
      </w:r>
      <w:r w:rsidRPr="00DF128A">
        <w:rPr>
          <w:rFonts w:ascii="Times New Roman" w:hAnsi="Times New Roman" w:cs="Times New Roman"/>
          <w:sz w:val="20"/>
          <w:szCs w:val="20"/>
        </w:rPr>
        <w:t>]. Dostupn</w:t>
      </w:r>
      <w:r>
        <w:rPr>
          <w:rFonts w:ascii="Times New Roman" w:hAnsi="Times New Roman" w:cs="Times New Roman"/>
          <w:sz w:val="20"/>
          <w:szCs w:val="20"/>
        </w:rPr>
        <w:t>ý online</w:t>
      </w:r>
      <w:r w:rsidRPr="00DF128A">
        <w:rPr>
          <w:rFonts w:ascii="Times New Roman" w:hAnsi="Times New Roman" w:cs="Times New Roman"/>
          <w:sz w:val="20"/>
          <w:szCs w:val="20"/>
        </w:rPr>
        <w:t xml:space="preserve"> </w:t>
      </w:r>
      <w:r w:rsidRPr="00A207FC">
        <w:rPr>
          <w:rFonts w:ascii="Times New Roman" w:hAnsi="Times New Roman" w:cs="Times New Roman"/>
          <w:iCs/>
          <w:sz w:val="20"/>
          <w:szCs w:val="20"/>
        </w:rPr>
        <w:t>&lt;</w:t>
      </w:r>
      <w:hyperlink r:id="rId29" w:history="1">
        <w:r w:rsidR="00DF128A" w:rsidRPr="004D6CBB">
          <w:rPr>
            <w:rFonts w:ascii="Times New Roman" w:hAnsi="Times New Roman" w:cs="Times New Roman"/>
            <w:iCs/>
            <w:sz w:val="20"/>
            <w:szCs w:val="20"/>
          </w:rPr>
          <w:t>http://www.kamworld.com/cz/retezce.php?rid=tesco-stores-cr-a-s-&amp;strana=1</w:t>
        </w:r>
      </w:hyperlink>
      <w:r>
        <w:rPr>
          <w:rFonts w:ascii="Times New Roman" w:hAnsi="Times New Roman" w:cs="Times New Roman"/>
          <w:iCs/>
          <w:sz w:val="20"/>
          <w:szCs w:val="20"/>
        </w:rPr>
        <w:t>&gt;</w:t>
      </w:r>
      <w:r w:rsidRPr="00A207FC">
        <w:rPr>
          <w:rFonts w:ascii="Times New Roman" w:hAnsi="Times New Roman" w:cs="Times New Roman"/>
          <w:iCs/>
          <w:sz w:val="20"/>
          <w:szCs w:val="20"/>
        </w:rPr>
        <w:t>.</w:t>
      </w:r>
    </w:p>
    <w:p w:rsidR="00DF128A" w:rsidRPr="004D6CBB" w:rsidRDefault="006F0011" w:rsidP="00B163E1">
      <w:pPr>
        <w:widowControl w:val="0"/>
        <w:spacing w:after="120" w:line="276" w:lineRule="auto"/>
        <w:jc w:val="both"/>
        <w:rPr>
          <w:rFonts w:ascii="Times New Roman" w:hAnsi="Times New Roman" w:cs="Times New Roman"/>
          <w:iCs/>
          <w:sz w:val="20"/>
          <w:szCs w:val="20"/>
        </w:rPr>
      </w:pPr>
      <w:r>
        <w:rPr>
          <w:rFonts w:ascii="Times New Roman" w:hAnsi="Times New Roman" w:cs="Times New Roman"/>
          <w:i/>
          <w:sz w:val="20"/>
          <w:szCs w:val="20"/>
        </w:rPr>
        <w:t xml:space="preserve">Před 15 lety otevřel první český supermarket. </w:t>
      </w:r>
      <w:r>
        <w:rPr>
          <w:rFonts w:ascii="Times New Roman" w:hAnsi="Times New Roman" w:cs="Times New Roman"/>
          <w:sz w:val="20"/>
          <w:szCs w:val="20"/>
        </w:rPr>
        <w:t xml:space="preserve">IDnes, 2006. </w:t>
      </w:r>
      <w:r w:rsidRPr="00DF128A">
        <w:rPr>
          <w:rFonts w:ascii="Times New Roman" w:hAnsi="Times New Roman" w:cs="Times New Roman"/>
          <w:sz w:val="20"/>
          <w:szCs w:val="20"/>
        </w:rPr>
        <w:t>[cit. 2</w:t>
      </w:r>
      <w:r>
        <w:rPr>
          <w:rFonts w:ascii="Times New Roman" w:hAnsi="Times New Roman" w:cs="Times New Roman"/>
          <w:sz w:val="20"/>
          <w:szCs w:val="20"/>
        </w:rPr>
        <w:t>0</w:t>
      </w:r>
      <w:r w:rsidRPr="00DF128A">
        <w:rPr>
          <w:rFonts w:ascii="Times New Roman" w:hAnsi="Times New Roman" w:cs="Times New Roman"/>
          <w:sz w:val="20"/>
          <w:szCs w:val="20"/>
        </w:rPr>
        <w:t xml:space="preserve">. </w:t>
      </w:r>
      <w:r>
        <w:rPr>
          <w:rFonts w:ascii="Times New Roman" w:hAnsi="Times New Roman" w:cs="Times New Roman"/>
          <w:sz w:val="20"/>
          <w:szCs w:val="20"/>
        </w:rPr>
        <w:t>července</w:t>
      </w:r>
      <w:r w:rsidRPr="00DF128A">
        <w:rPr>
          <w:rFonts w:ascii="Times New Roman" w:hAnsi="Times New Roman" w:cs="Times New Roman"/>
          <w:sz w:val="20"/>
          <w:szCs w:val="20"/>
        </w:rPr>
        <w:t xml:space="preserve"> 201</w:t>
      </w:r>
      <w:r>
        <w:rPr>
          <w:rFonts w:ascii="Times New Roman" w:hAnsi="Times New Roman" w:cs="Times New Roman"/>
          <w:sz w:val="20"/>
          <w:szCs w:val="20"/>
        </w:rPr>
        <w:t>1</w:t>
      </w:r>
      <w:r w:rsidRPr="00DF128A">
        <w:rPr>
          <w:rFonts w:ascii="Times New Roman" w:hAnsi="Times New Roman" w:cs="Times New Roman"/>
          <w:sz w:val="20"/>
          <w:szCs w:val="20"/>
        </w:rPr>
        <w:t>]. Dostupn</w:t>
      </w:r>
      <w:r>
        <w:rPr>
          <w:rFonts w:ascii="Times New Roman" w:hAnsi="Times New Roman" w:cs="Times New Roman"/>
          <w:sz w:val="20"/>
          <w:szCs w:val="20"/>
        </w:rPr>
        <w:t>ý online</w:t>
      </w:r>
      <w:r w:rsidRPr="00DF128A">
        <w:rPr>
          <w:rFonts w:ascii="Times New Roman" w:hAnsi="Times New Roman" w:cs="Times New Roman"/>
          <w:sz w:val="20"/>
          <w:szCs w:val="20"/>
        </w:rPr>
        <w:t xml:space="preserve"> </w:t>
      </w:r>
      <w:r w:rsidRPr="00A207FC">
        <w:rPr>
          <w:rFonts w:ascii="Times New Roman" w:hAnsi="Times New Roman" w:cs="Times New Roman"/>
          <w:iCs/>
          <w:sz w:val="20"/>
          <w:szCs w:val="20"/>
        </w:rPr>
        <w:t>&lt;</w:t>
      </w:r>
      <w:hyperlink r:id="rId30" w:history="1">
        <w:r w:rsidR="00DF128A" w:rsidRPr="004D6CBB">
          <w:rPr>
            <w:rFonts w:ascii="Times New Roman" w:hAnsi="Times New Roman" w:cs="Times New Roman"/>
            <w:iCs/>
            <w:sz w:val="20"/>
            <w:szCs w:val="20"/>
          </w:rPr>
          <w:t>http://ekonomika.idnes.cz/pred-15-lety-otevrel-prvni-cesky-supermarket-fmj-/ekonomika.asp?c=A060801_114604_ekonomika_plz</w:t>
        </w:r>
      </w:hyperlink>
      <w:r>
        <w:rPr>
          <w:rFonts w:ascii="Times New Roman" w:hAnsi="Times New Roman" w:cs="Times New Roman"/>
          <w:iCs/>
          <w:sz w:val="20"/>
          <w:szCs w:val="20"/>
        </w:rPr>
        <w:t>&gt;</w:t>
      </w:r>
      <w:r w:rsidRPr="00A207FC">
        <w:rPr>
          <w:rFonts w:ascii="Times New Roman" w:hAnsi="Times New Roman" w:cs="Times New Roman"/>
          <w:iCs/>
          <w:sz w:val="20"/>
          <w:szCs w:val="20"/>
        </w:rPr>
        <w:t>.</w:t>
      </w:r>
    </w:p>
    <w:p w:rsidR="00DF128A" w:rsidRPr="004D6CBB" w:rsidRDefault="006F0011" w:rsidP="00B163E1">
      <w:pPr>
        <w:widowControl w:val="0"/>
        <w:spacing w:after="120" w:line="276" w:lineRule="auto"/>
        <w:jc w:val="both"/>
        <w:rPr>
          <w:rFonts w:ascii="Times New Roman" w:hAnsi="Times New Roman" w:cs="Times New Roman"/>
          <w:iCs/>
          <w:sz w:val="20"/>
          <w:szCs w:val="20"/>
        </w:rPr>
      </w:pPr>
      <w:r>
        <w:rPr>
          <w:rFonts w:ascii="Times New Roman" w:hAnsi="Times New Roman" w:cs="Times New Roman"/>
          <w:i/>
          <w:sz w:val="20"/>
          <w:szCs w:val="20"/>
        </w:rPr>
        <w:t xml:space="preserve">OKEČ. </w:t>
      </w:r>
      <w:r>
        <w:rPr>
          <w:rFonts w:ascii="Times New Roman" w:hAnsi="Times New Roman" w:cs="Times New Roman"/>
          <w:sz w:val="20"/>
          <w:szCs w:val="20"/>
        </w:rPr>
        <w:t>ČSÚ,.</w:t>
      </w:r>
      <w:r w:rsidRPr="00DF128A">
        <w:rPr>
          <w:rFonts w:ascii="Times New Roman" w:hAnsi="Times New Roman" w:cs="Times New Roman"/>
          <w:sz w:val="20"/>
          <w:szCs w:val="20"/>
        </w:rPr>
        <w:t>[cit. 2</w:t>
      </w:r>
      <w:r>
        <w:rPr>
          <w:rFonts w:ascii="Times New Roman" w:hAnsi="Times New Roman" w:cs="Times New Roman"/>
          <w:sz w:val="20"/>
          <w:szCs w:val="20"/>
        </w:rPr>
        <w:t>0</w:t>
      </w:r>
      <w:r w:rsidRPr="00DF128A">
        <w:rPr>
          <w:rFonts w:ascii="Times New Roman" w:hAnsi="Times New Roman" w:cs="Times New Roman"/>
          <w:sz w:val="20"/>
          <w:szCs w:val="20"/>
        </w:rPr>
        <w:t xml:space="preserve">. </w:t>
      </w:r>
      <w:r>
        <w:rPr>
          <w:rFonts w:ascii="Times New Roman" w:hAnsi="Times New Roman" w:cs="Times New Roman"/>
          <w:sz w:val="20"/>
          <w:szCs w:val="20"/>
        </w:rPr>
        <w:t>července</w:t>
      </w:r>
      <w:r w:rsidRPr="00DF128A">
        <w:rPr>
          <w:rFonts w:ascii="Times New Roman" w:hAnsi="Times New Roman" w:cs="Times New Roman"/>
          <w:sz w:val="20"/>
          <w:szCs w:val="20"/>
        </w:rPr>
        <w:t xml:space="preserve"> 201</w:t>
      </w:r>
      <w:r>
        <w:rPr>
          <w:rFonts w:ascii="Times New Roman" w:hAnsi="Times New Roman" w:cs="Times New Roman"/>
          <w:sz w:val="20"/>
          <w:szCs w:val="20"/>
        </w:rPr>
        <w:t>1</w:t>
      </w:r>
      <w:r w:rsidRPr="00DF128A">
        <w:rPr>
          <w:rFonts w:ascii="Times New Roman" w:hAnsi="Times New Roman" w:cs="Times New Roman"/>
          <w:sz w:val="20"/>
          <w:szCs w:val="20"/>
        </w:rPr>
        <w:t>]. Dostupn</w:t>
      </w:r>
      <w:r>
        <w:rPr>
          <w:rFonts w:ascii="Times New Roman" w:hAnsi="Times New Roman" w:cs="Times New Roman"/>
          <w:sz w:val="20"/>
          <w:szCs w:val="20"/>
        </w:rPr>
        <w:t>ý online</w:t>
      </w:r>
      <w:r w:rsidRPr="00DF128A">
        <w:rPr>
          <w:rFonts w:ascii="Times New Roman" w:hAnsi="Times New Roman" w:cs="Times New Roman"/>
          <w:sz w:val="20"/>
          <w:szCs w:val="20"/>
        </w:rPr>
        <w:t xml:space="preserve"> </w:t>
      </w:r>
      <w:r w:rsidRPr="00A207FC">
        <w:rPr>
          <w:rFonts w:ascii="Times New Roman" w:hAnsi="Times New Roman" w:cs="Times New Roman"/>
          <w:iCs/>
          <w:sz w:val="20"/>
          <w:szCs w:val="20"/>
        </w:rPr>
        <w:t>&lt;</w:t>
      </w:r>
      <w:hyperlink r:id="rId31" w:history="1">
        <w:r w:rsidR="00DF128A" w:rsidRPr="004D6CBB">
          <w:rPr>
            <w:rFonts w:ascii="Times New Roman" w:hAnsi="Times New Roman" w:cs="Times New Roman"/>
            <w:iCs/>
            <w:sz w:val="20"/>
            <w:szCs w:val="20"/>
          </w:rPr>
          <w:t>http://www.czso.cz/csu/klasifik.nsf/i/okec</w:t>
        </w:r>
      </w:hyperlink>
      <w:r>
        <w:rPr>
          <w:rFonts w:ascii="Times New Roman" w:hAnsi="Times New Roman" w:cs="Times New Roman"/>
          <w:iCs/>
          <w:sz w:val="20"/>
          <w:szCs w:val="20"/>
        </w:rPr>
        <w:t>&gt;</w:t>
      </w:r>
      <w:r w:rsidRPr="00A207FC">
        <w:rPr>
          <w:rFonts w:ascii="Times New Roman" w:hAnsi="Times New Roman" w:cs="Times New Roman"/>
          <w:iCs/>
          <w:sz w:val="20"/>
          <w:szCs w:val="20"/>
        </w:rPr>
        <w:t xml:space="preserve">. </w:t>
      </w:r>
      <w:r w:rsidR="00DF128A" w:rsidRPr="004D6CBB">
        <w:rPr>
          <w:rFonts w:ascii="Times New Roman" w:hAnsi="Times New Roman" w:cs="Times New Roman"/>
          <w:iCs/>
          <w:sz w:val="20"/>
          <w:szCs w:val="20"/>
        </w:rPr>
        <w:t xml:space="preserve"> </w:t>
      </w:r>
    </w:p>
    <w:p w:rsidR="00DF128A" w:rsidRPr="00B163E1" w:rsidRDefault="00DF128A" w:rsidP="00DF128A">
      <w:pPr>
        <w:widowControl w:val="0"/>
        <w:spacing w:line="276" w:lineRule="auto"/>
        <w:ind w:firstLine="709"/>
        <w:jc w:val="both"/>
        <w:rPr>
          <w:rFonts w:ascii="Times New Roman" w:eastAsia="Batang" w:hAnsi="Times New Roman" w:cs="Times New Roman"/>
          <w:b/>
          <w:sz w:val="24"/>
          <w:szCs w:val="24"/>
        </w:rPr>
      </w:pPr>
      <w:r w:rsidRPr="00B163E1">
        <w:rPr>
          <w:rFonts w:ascii="Times New Roman" w:eastAsia="Batang" w:hAnsi="Times New Roman" w:cs="Times New Roman"/>
          <w:b/>
          <w:sz w:val="24"/>
          <w:szCs w:val="24"/>
        </w:rPr>
        <w:br w:type="page"/>
      </w:r>
    </w:p>
    <w:p w:rsidR="00DF128A" w:rsidRPr="00DF128A" w:rsidRDefault="00DF128A" w:rsidP="009B5078">
      <w:pPr>
        <w:pStyle w:val="Nadpis1"/>
        <w:ind w:firstLine="0"/>
        <w:rPr>
          <w:rFonts w:eastAsia="Batang"/>
        </w:rPr>
      </w:pPr>
      <w:bookmarkStart w:id="30" w:name="_Toc331023967"/>
      <w:r w:rsidRPr="00DF128A">
        <w:rPr>
          <w:rFonts w:eastAsia="Batang"/>
        </w:rPr>
        <w:lastRenderedPageBreak/>
        <w:t>BÉNGALÚRU – CENTRUM OUTSOURCINGU</w:t>
      </w:r>
      <w:bookmarkEnd w:id="30"/>
    </w:p>
    <w:p w:rsidR="00F81FFE" w:rsidRDefault="00F81FFE" w:rsidP="00F81FFE">
      <w:pPr>
        <w:widowControl w:val="0"/>
        <w:spacing w:line="276" w:lineRule="auto"/>
        <w:jc w:val="center"/>
        <w:rPr>
          <w:rFonts w:ascii="Times New Roman" w:hAnsi="Times New Roman" w:cs="Times New Roman"/>
          <w:bCs/>
          <w:i/>
          <w:iCs/>
          <w:sz w:val="24"/>
          <w:szCs w:val="24"/>
        </w:rPr>
      </w:pPr>
    </w:p>
    <w:p w:rsidR="00DF128A" w:rsidRPr="00DF128A" w:rsidRDefault="00DF128A" w:rsidP="00F81FFE">
      <w:pPr>
        <w:widowControl w:val="0"/>
        <w:spacing w:line="276" w:lineRule="auto"/>
        <w:jc w:val="center"/>
        <w:rPr>
          <w:rFonts w:ascii="Times New Roman" w:hAnsi="Times New Roman" w:cs="Times New Roman"/>
          <w:bCs/>
          <w:i/>
          <w:iCs/>
          <w:sz w:val="24"/>
          <w:szCs w:val="24"/>
        </w:rPr>
      </w:pPr>
      <w:r w:rsidRPr="00DF128A">
        <w:rPr>
          <w:rFonts w:ascii="Times New Roman" w:hAnsi="Times New Roman" w:cs="Times New Roman"/>
          <w:bCs/>
          <w:i/>
          <w:iCs/>
          <w:sz w:val="24"/>
          <w:szCs w:val="24"/>
        </w:rPr>
        <w:t>Kristýna Lysáková</w:t>
      </w:r>
    </w:p>
    <w:p w:rsidR="004F069E" w:rsidRDefault="004F069E" w:rsidP="004F069E">
      <w:pPr>
        <w:pStyle w:val="Nadpis1"/>
        <w:ind w:firstLine="0"/>
        <w:jc w:val="left"/>
        <w:rPr>
          <w:rFonts w:eastAsiaTheme="minorHAnsi"/>
          <w:b w:val="0"/>
          <w:bCs w:val="0"/>
          <w:lang w:eastAsia="en-US"/>
        </w:rPr>
      </w:pPr>
      <w:bookmarkStart w:id="31" w:name="_Toc301255441"/>
    </w:p>
    <w:p w:rsidR="00DF128A" w:rsidRPr="00DF128A" w:rsidRDefault="00DF128A" w:rsidP="004F069E">
      <w:pPr>
        <w:pStyle w:val="Nadpis1"/>
        <w:ind w:firstLine="0"/>
        <w:jc w:val="left"/>
      </w:pPr>
      <w:bookmarkStart w:id="32" w:name="_Toc331023968"/>
      <w:r w:rsidRPr="00DF128A">
        <w:t>Ú</w:t>
      </w:r>
      <w:bookmarkEnd w:id="31"/>
      <w:r w:rsidR="004F069E">
        <w:t>vod</w:t>
      </w:r>
      <w:bookmarkEnd w:id="32"/>
      <w:r w:rsidRPr="00DF128A">
        <w:t xml:space="preserve">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Pojem outsourcing souvisí s nástupem globalizace</w:t>
      </w:r>
      <w:r w:rsidR="006F0011">
        <w:rPr>
          <w:rFonts w:ascii="Times New Roman" w:hAnsi="Times New Roman" w:cs="Times New Roman"/>
          <w:sz w:val="24"/>
          <w:szCs w:val="24"/>
        </w:rPr>
        <w:t xml:space="preserve">. </w:t>
      </w:r>
      <w:r w:rsidRPr="00DF128A">
        <w:rPr>
          <w:rFonts w:ascii="Times New Roman" w:hAnsi="Times New Roman" w:cs="Times New Roman"/>
          <w:sz w:val="24"/>
          <w:szCs w:val="24"/>
        </w:rPr>
        <w:t>Ekonomická globalizace vytvořila podmínky pro vznik outsourcingu. Zejména 90. léta 20. století přinesla rozvoj outsourcingu nejen za hranice firmy, ale i za hranice země. Technologické předpoklady dovolují geografické rozmístění podniků na jakékoliv místo ve světě. Podniky si mohou zajišťovat suroviny tam, kde je to nejvýhodnější. Vyrábět tam, kde je to nejlevnější a prodávat tam, kde jsou výhodné trhy. Úroveň informačních technologií a komunikací umožňuje propojení geograficky distribuovaných pracovišť tak, jako kdyby byla všechna tato pracoviště v jedné budově.</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Tato seminární práce se bude zabývat outsourcingem. Dále se zaměří na indické město Béngalúru před příchodem outsourcingu i jako nové středisko jeho rozvoje. Smyslem seminární práce je potom odpovědět na otázku, které faktory vedly k vytvoření outsourcingového centra v této oblasti.</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F81FFE">
      <w:pPr>
        <w:widowControl w:val="0"/>
        <w:spacing w:line="276" w:lineRule="auto"/>
        <w:jc w:val="both"/>
        <w:rPr>
          <w:rFonts w:ascii="Times New Roman" w:hAnsi="Times New Roman" w:cs="Times New Roman"/>
          <w:b/>
          <w:bCs/>
          <w:sz w:val="24"/>
          <w:szCs w:val="24"/>
        </w:rPr>
      </w:pPr>
      <w:r w:rsidRPr="00DF128A">
        <w:rPr>
          <w:rFonts w:ascii="Times New Roman" w:hAnsi="Times New Roman" w:cs="Times New Roman"/>
          <w:b/>
          <w:bCs/>
          <w:sz w:val="24"/>
          <w:szCs w:val="24"/>
        </w:rPr>
        <w:t>Definice Outsourcingu a Offshore outsourcingu</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Outsourcing představuje celosvětově se šířící moderní techniku řízení podniku. Tento pojem pochází z americké obchodní angličtiny. Český výraz se pro toto slovo nepoužívá. Bruckner a Voříšek (1998), autoři jedné z prvních publikací na toto téma v češtině</w:t>
      </w:r>
      <w:r w:rsidRPr="00DF128A">
        <w:rPr>
          <w:rFonts w:ascii="Times New Roman" w:hAnsi="Times New Roman" w:cs="Times New Roman"/>
          <w:b/>
          <w:sz w:val="24"/>
          <w:szCs w:val="24"/>
        </w:rPr>
        <w:t xml:space="preserve">, </w:t>
      </w:r>
      <w:r w:rsidRPr="00DF128A">
        <w:rPr>
          <w:rFonts w:ascii="Times New Roman" w:hAnsi="Times New Roman" w:cs="Times New Roman"/>
          <w:sz w:val="24"/>
          <w:szCs w:val="24"/>
        </w:rPr>
        <w:t>používají anglický termín „outsourcing“, ale pro anglické verbum „to outsource“ používají výraz „vytěsnit“ nebo „odsunout“.</w:t>
      </w:r>
    </w:p>
    <w:p w:rsidR="00DF128A" w:rsidRPr="00DF128A" w:rsidRDefault="00DF128A" w:rsidP="00DF128A">
      <w:pPr>
        <w:widowControl w:val="0"/>
        <w:spacing w:line="276" w:lineRule="auto"/>
        <w:ind w:firstLine="709"/>
        <w:jc w:val="both"/>
        <w:rPr>
          <w:rFonts w:ascii="Times New Roman" w:hAnsi="Times New Roman" w:cs="Times New Roman"/>
          <w:b/>
          <w:bCs/>
          <w:sz w:val="24"/>
          <w:szCs w:val="24"/>
        </w:rPr>
      </w:pPr>
      <w:r w:rsidRPr="00DF128A">
        <w:rPr>
          <w:rFonts w:ascii="Times New Roman" w:hAnsi="Times New Roman" w:cs="Times New Roman"/>
          <w:sz w:val="24"/>
          <w:szCs w:val="24"/>
        </w:rPr>
        <w:t>Outsourcing vznikl ze zkratky „outside resource using“. „Představuje vyčlenění vybraných podnikových činností a jejich zajištění dodavatelským způsobem nebo kooperací s jinými firmami s cílem snížit výrobní náklady při koncentraci firmy na hlavní činnosti (oblast samotné výroby, případně vědeckotechnického rozvoje)“ (Fialová a Fiala 2006</w:t>
      </w:r>
      <w:r w:rsidR="006F0011">
        <w:rPr>
          <w:rFonts w:ascii="Times New Roman" w:hAnsi="Times New Roman" w:cs="Times New Roman"/>
          <w:sz w:val="24"/>
          <w:szCs w:val="24"/>
        </w:rPr>
        <w:t>:</w:t>
      </w:r>
      <w:r w:rsidRPr="00DF128A">
        <w:rPr>
          <w:rFonts w:ascii="Times New Roman" w:hAnsi="Times New Roman" w:cs="Times New Roman"/>
          <w:sz w:val="24"/>
          <w:szCs w:val="24"/>
        </w:rPr>
        <w:t xml:space="preserve"> 182).</w:t>
      </w:r>
      <w:r w:rsidRPr="00DF128A">
        <w:rPr>
          <w:rFonts w:ascii="Times New Roman" w:hAnsi="Times New Roman" w:cs="Times New Roman"/>
          <w:b/>
          <w:sz w:val="24"/>
          <w:szCs w:val="24"/>
        </w:rPr>
        <w:t xml:space="preserve">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Tato seminární práce se především zabývá typem outsourcingu, který se nazývá „offshore outsourcing“. O této úrovni outsourcingu mluvíme v případě, že firma působící v jedné zemi nebo v jednom ekonomickém prostoru se rozhodne přemístit některé svoje činnosti do zahraničí. Tam jiná firma zajistí tyto stejné funkce pro původní firmu a znovu začlení výsledky své práce zpět do celkové činnosti firmy, pro kterou danou funkci vykonává (např. výzku</w:t>
      </w:r>
      <w:r w:rsidR="006F0011">
        <w:rPr>
          <w:rFonts w:ascii="Times New Roman" w:hAnsi="Times New Roman" w:cs="Times New Roman"/>
          <w:sz w:val="24"/>
          <w:szCs w:val="24"/>
        </w:rPr>
        <w:t>m, call-centra apod.) (Friedman</w:t>
      </w:r>
      <w:r w:rsidRPr="00DF128A">
        <w:rPr>
          <w:rFonts w:ascii="Times New Roman" w:hAnsi="Times New Roman" w:cs="Times New Roman"/>
          <w:sz w:val="24"/>
          <w:szCs w:val="24"/>
        </w:rPr>
        <w:t xml:space="preserve"> 2006).</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V posledních letech se v oblasti offshore outsourcingu nejčastěji setkáváme s pojmy </w:t>
      </w:r>
      <w:r w:rsidRPr="00DF128A">
        <w:rPr>
          <w:rFonts w:ascii="Times New Roman" w:hAnsi="Times New Roman" w:cs="Times New Roman"/>
          <w:sz w:val="24"/>
          <w:szCs w:val="24"/>
          <w:lang w:val="en"/>
        </w:rPr>
        <w:t>(Wikipedia, 2008a)</w:t>
      </w:r>
      <w:r w:rsidRPr="00DF128A">
        <w:rPr>
          <w:rFonts w:ascii="Times New Roman" w:hAnsi="Times New Roman" w:cs="Times New Roman"/>
          <w:sz w:val="24"/>
          <w:szCs w:val="24"/>
        </w:rPr>
        <w:t>:</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bCs/>
          <w:sz w:val="24"/>
          <w:szCs w:val="24"/>
        </w:rPr>
        <w:t xml:space="preserve">ITO (angl. </w:t>
      </w:r>
      <w:r w:rsidRPr="00DF128A">
        <w:rPr>
          <w:rFonts w:ascii="Times New Roman" w:hAnsi="Times New Roman" w:cs="Times New Roman"/>
          <w:bCs/>
          <w:i/>
          <w:iCs/>
          <w:sz w:val="24"/>
          <w:szCs w:val="24"/>
        </w:rPr>
        <w:t>information</w:t>
      </w:r>
      <w:r w:rsidRPr="00DF128A">
        <w:rPr>
          <w:rFonts w:ascii="Times New Roman" w:hAnsi="Times New Roman" w:cs="Times New Roman"/>
          <w:bCs/>
          <w:sz w:val="24"/>
          <w:szCs w:val="24"/>
        </w:rPr>
        <w:t xml:space="preserve"> </w:t>
      </w:r>
      <w:r w:rsidRPr="00DF128A">
        <w:rPr>
          <w:rFonts w:ascii="Times New Roman" w:hAnsi="Times New Roman" w:cs="Times New Roman"/>
          <w:bCs/>
          <w:i/>
          <w:iCs/>
          <w:sz w:val="24"/>
          <w:szCs w:val="24"/>
        </w:rPr>
        <w:t>technology outsourcing</w:t>
      </w:r>
      <w:r w:rsidRPr="00DF128A">
        <w:rPr>
          <w:rFonts w:ascii="Times New Roman" w:hAnsi="Times New Roman" w:cs="Times New Roman"/>
          <w:bCs/>
          <w:sz w:val="24"/>
          <w:szCs w:val="24"/>
        </w:rPr>
        <w:t>) - outsourcing informačních technologií - přenesení odpovědnosti za provoz, údržbu a vývoj systému z dané firmy na poskytovatele služeb.</w:t>
      </w:r>
    </w:p>
    <w:p w:rsidR="00DF128A" w:rsidRPr="00DF128A" w:rsidRDefault="00DF128A" w:rsidP="00DF128A">
      <w:pPr>
        <w:widowControl w:val="0"/>
        <w:spacing w:line="276" w:lineRule="auto"/>
        <w:ind w:firstLine="709"/>
        <w:jc w:val="both"/>
        <w:rPr>
          <w:rFonts w:ascii="Times New Roman" w:hAnsi="Times New Roman" w:cs="Times New Roman"/>
          <w:bCs/>
          <w:sz w:val="24"/>
          <w:szCs w:val="24"/>
        </w:rPr>
      </w:pPr>
      <w:r w:rsidRPr="00DF128A">
        <w:rPr>
          <w:rFonts w:ascii="Times New Roman" w:hAnsi="Times New Roman" w:cs="Times New Roman"/>
          <w:bCs/>
          <w:sz w:val="24"/>
          <w:szCs w:val="24"/>
        </w:rPr>
        <w:t xml:space="preserve">BPO (angl. </w:t>
      </w:r>
      <w:r w:rsidRPr="00DF128A">
        <w:rPr>
          <w:rFonts w:ascii="Times New Roman" w:hAnsi="Times New Roman" w:cs="Times New Roman"/>
          <w:bCs/>
          <w:i/>
          <w:iCs/>
          <w:sz w:val="24"/>
          <w:szCs w:val="24"/>
        </w:rPr>
        <w:t>business process outsourcing</w:t>
      </w:r>
      <w:r w:rsidRPr="00DF128A">
        <w:rPr>
          <w:rFonts w:ascii="Times New Roman" w:hAnsi="Times New Roman" w:cs="Times New Roman"/>
          <w:bCs/>
          <w:sz w:val="24"/>
          <w:szCs w:val="24"/>
        </w:rPr>
        <w:t>) - outsourcing podnikových procesů - je závislý na informačních technologiích, zabývá se např. provozováním call-center, zpracováním pojistných škod, kreditních karet, lékařských záznamů aj.</w:t>
      </w:r>
    </w:p>
    <w:p w:rsidR="00DF128A" w:rsidRPr="006F0011" w:rsidRDefault="00DF128A" w:rsidP="00DF128A">
      <w:pPr>
        <w:widowControl w:val="0"/>
        <w:spacing w:line="276" w:lineRule="auto"/>
        <w:ind w:firstLine="709"/>
        <w:jc w:val="both"/>
        <w:rPr>
          <w:rFonts w:ascii="Times New Roman" w:hAnsi="Times New Roman" w:cs="Times New Roman"/>
          <w:bCs/>
          <w:sz w:val="24"/>
          <w:szCs w:val="24"/>
        </w:rPr>
      </w:pPr>
      <w:r w:rsidRPr="006F0011">
        <w:rPr>
          <w:rFonts w:ascii="Times New Roman" w:hAnsi="Times New Roman" w:cs="Times New Roman"/>
          <w:bCs/>
          <w:sz w:val="24"/>
          <w:szCs w:val="24"/>
        </w:rPr>
        <w:t xml:space="preserve">Software R&amp;D (angl. </w:t>
      </w:r>
      <w:r w:rsidRPr="006F0011">
        <w:rPr>
          <w:rFonts w:ascii="Times New Roman" w:hAnsi="Times New Roman" w:cs="Times New Roman"/>
          <w:bCs/>
          <w:i/>
          <w:iCs/>
          <w:sz w:val="24"/>
          <w:szCs w:val="24"/>
        </w:rPr>
        <w:t>offshore software research and development</w:t>
      </w:r>
      <w:r w:rsidRPr="006F0011">
        <w:rPr>
          <w:rFonts w:ascii="Times New Roman" w:hAnsi="Times New Roman" w:cs="Times New Roman"/>
          <w:bCs/>
          <w:sz w:val="24"/>
          <w:szCs w:val="24"/>
        </w:rPr>
        <w:t>) - outsourcing vývoje softwaru.</w:t>
      </w:r>
    </w:p>
    <w:p w:rsidR="00DF128A" w:rsidRPr="006F0011" w:rsidRDefault="00DF128A" w:rsidP="00DF128A">
      <w:pPr>
        <w:widowControl w:val="0"/>
        <w:spacing w:line="276" w:lineRule="auto"/>
        <w:ind w:firstLine="709"/>
        <w:jc w:val="both"/>
        <w:rPr>
          <w:rFonts w:ascii="Times New Roman" w:hAnsi="Times New Roman" w:cs="Times New Roman"/>
          <w:sz w:val="24"/>
          <w:szCs w:val="24"/>
        </w:rPr>
      </w:pPr>
      <w:r w:rsidRPr="006F0011">
        <w:rPr>
          <w:rFonts w:ascii="Times New Roman" w:hAnsi="Times New Roman" w:cs="Times New Roman"/>
          <w:bCs/>
          <w:sz w:val="24"/>
          <w:szCs w:val="24"/>
        </w:rPr>
        <w:lastRenderedPageBreak/>
        <w:t xml:space="preserve">KPO (angl. </w:t>
      </w:r>
      <w:r w:rsidRPr="006F0011">
        <w:rPr>
          <w:rFonts w:ascii="Times New Roman" w:hAnsi="Times New Roman" w:cs="Times New Roman"/>
          <w:bCs/>
          <w:i/>
          <w:iCs/>
          <w:sz w:val="24"/>
          <w:szCs w:val="24"/>
        </w:rPr>
        <w:t>knowledge process outsourcing</w:t>
      </w:r>
      <w:r w:rsidRPr="006F0011">
        <w:rPr>
          <w:rFonts w:ascii="Times New Roman" w:hAnsi="Times New Roman" w:cs="Times New Roman"/>
          <w:bCs/>
          <w:sz w:val="24"/>
          <w:szCs w:val="24"/>
        </w:rPr>
        <w:t>) - outsourcing znalostních procesů - je podskupinou</w:t>
      </w:r>
      <w:r w:rsidRPr="006F0011">
        <w:rPr>
          <w:rFonts w:ascii="Times New Roman" w:hAnsi="Times New Roman" w:cs="Times New Roman"/>
          <w:sz w:val="24"/>
          <w:szCs w:val="24"/>
        </w:rPr>
        <w:t xml:space="preserve"> BPO, pokrývá oblasti, které vyžadují vyšší odbornost poskytovatele služeb např. lékařské služby (analýza rentgenových snímků), design a rozvoj v automobilovém a leteckém průmyslu, výzkum trhu, zpracování dat, vytváření databází, analytické služby apod.</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F81FFE">
      <w:pPr>
        <w:widowControl w:val="0"/>
        <w:spacing w:line="276" w:lineRule="auto"/>
        <w:jc w:val="both"/>
        <w:rPr>
          <w:rFonts w:ascii="Times New Roman" w:hAnsi="Times New Roman" w:cs="Times New Roman"/>
          <w:b/>
          <w:bCs/>
          <w:sz w:val="24"/>
          <w:szCs w:val="24"/>
        </w:rPr>
      </w:pPr>
      <w:r w:rsidRPr="00DF128A">
        <w:rPr>
          <w:rFonts w:ascii="Times New Roman" w:hAnsi="Times New Roman" w:cs="Times New Roman"/>
          <w:b/>
          <w:bCs/>
          <w:sz w:val="24"/>
          <w:szCs w:val="24"/>
        </w:rPr>
        <w:t>Výběr destinace outsourcingu</w:t>
      </w:r>
    </w:p>
    <w:p w:rsidR="00DF128A" w:rsidRPr="00DF128A" w:rsidRDefault="00DF128A" w:rsidP="00DF128A">
      <w:pPr>
        <w:widowControl w:val="0"/>
        <w:shd w:val="clear" w:color="auto" w:fill="FFFFFF"/>
        <w:spacing w:line="276" w:lineRule="auto"/>
        <w:ind w:firstLine="709"/>
        <w:jc w:val="both"/>
        <w:rPr>
          <w:rFonts w:ascii="Times New Roman" w:hAnsi="Times New Roman" w:cs="Times New Roman"/>
          <w:bCs/>
          <w:sz w:val="24"/>
          <w:szCs w:val="24"/>
        </w:rPr>
      </w:pPr>
      <w:r w:rsidRPr="00DF128A">
        <w:rPr>
          <w:rFonts w:ascii="Times New Roman" w:hAnsi="Times New Roman" w:cs="Times New Roman"/>
          <w:bCs/>
          <w:sz w:val="24"/>
          <w:szCs w:val="24"/>
        </w:rPr>
        <w:t>Při výběru vhodné destinace outsourcingu hrají důležitou roli určité faktory. Firmy si často vybírají země, kde jsou nízké náklady na pracovní sílu nebo infrastrukturu. Určujícím faktorem je často vysoká motivace pracovníků, jejich zkušenosti, úroveň schopností nebo kvalita jimi prováděné práce. Důležitou roli hrají i kulturní rozdíly zemí, kdy daná firma volí většinou prostředí podobné tomu, ze kterého firma pochází. Jednou z nejdůležitějších podmínek při hledání vhodné destinace je politická a ekonomická situace cílové země (země musí být otevřená pro zahraniční obchod a investice). Nemalou roli ve výběru prostředí nese jeho pověst spolehlivosti, důvěryhodnosti a serióznosti. Často jsou voleny takové destinace, které nabízejí světovou úroveň poskytovaných služeb (Fanta</w:t>
      </w:r>
      <w:r w:rsidR="006F0011">
        <w:rPr>
          <w:rFonts w:ascii="Times New Roman" w:hAnsi="Times New Roman" w:cs="Times New Roman"/>
          <w:bCs/>
          <w:sz w:val="24"/>
          <w:szCs w:val="24"/>
        </w:rPr>
        <w:t xml:space="preserve"> </w:t>
      </w:r>
      <w:r w:rsidRPr="00DF128A">
        <w:rPr>
          <w:rFonts w:ascii="Times New Roman" w:hAnsi="Times New Roman" w:cs="Times New Roman"/>
          <w:bCs/>
          <w:sz w:val="24"/>
          <w:szCs w:val="24"/>
        </w:rPr>
        <w:t>2004).</w:t>
      </w:r>
    </w:p>
    <w:p w:rsidR="00DF128A" w:rsidRPr="00DF128A" w:rsidRDefault="00DF128A" w:rsidP="00DF128A">
      <w:pPr>
        <w:widowControl w:val="0"/>
        <w:spacing w:line="276" w:lineRule="auto"/>
        <w:ind w:firstLine="709"/>
        <w:jc w:val="both"/>
        <w:rPr>
          <w:rFonts w:ascii="Times New Roman" w:hAnsi="Times New Roman" w:cs="Times New Roman"/>
          <w:b/>
          <w:sz w:val="24"/>
          <w:szCs w:val="24"/>
          <w:u w:val="single"/>
        </w:rPr>
      </w:pPr>
    </w:p>
    <w:p w:rsidR="00DF128A" w:rsidRPr="00DF128A" w:rsidRDefault="00DF128A" w:rsidP="00F81FFE">
      <w:pPr>
        <w:widowControl w:val="0"/>
        <w:spacing w:line="276" w:lineRule="auto"/>
        <w:jc w:val="both"/>
        <w:rPr>
          <w:rFonts w:ascii="Times New Roman" w:hAnsi="Times New Roman" w:cs="Times New Roman"/>
          <w:b/>
          <w:bCs/>
          <w:sz w:val="24"/>
          <w:szCs w:val="24"/>
        </w:rPr>
      </w:pPr>
      <w:r w:rsidRPr="00DF128A">
        <w:rPr>
          <w:rFonts w:ascii="Times New Roman" w:hAnsi="Times New Roman" w:cs="Times New Roman"/>
          <w:b/>
          <w:bCs/>
          <w:sz w:val="24"/>
          <w:szCs w:val="24"/>
        </w:rPr>
        <w:t>Důvody uplatňování offshore outsourcingu</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Důvodem pro přemístění některých činností daného podniku do zahraničí je v převážné většině případů levnější pracovní síla v těchto zemích (Fanta, 2004). Existují také další důvody, které vedou k offshore outsourcingu. Vedle levné pracovní síly je to kvalitní, početná a jazykově vybavená pracovní síla, kvalita infrastruktury nebo dobré dopravní spojení. Hlavní roli hraje i právní a obchodní prostředí v zemi provádějící služby dané firmě (Offshore outsourcing 2008). Jindy se můžeme setkat se strategickými důvody- přístup k novým trhům, využití schopností pracovníků, kterých se na domácích trzích nedostává nebo vyhnutí se regulacím, které znemožňují specifické aktivity na domácích trzích. K těmto regulacím patří zejména určitá enviromentální politika, která v rozvinutých zemích často brání ve vykonávání některých činností firem, které vedou ke znečištění životního prostředí. Tato politika v rozvojových zemích často chybí a toho firmy využívají ve svůj prospěch. Dále firmy využívají nedokonalé sociální legislativy v rozvojových zemích (Sourcingmag 2008).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Významným důvodem outsourcingu do zahraničí, především pro země, které odděluje několik časových pásem (např. pro Ameriku a Indii), je možnost využití rozdílnosti místních časů obou zemí a tedy výhody provádění činnosti, kterou daná země outsourcuje, 24 hodin denně (zatímco Američané spí, pracovníci v Indii prožívají den a vykonávají zadanou činnost, kterou doručí do amerických firem v ranních hodinách, kdy Američané začínají nový pracovní den) (Friedman 2006).</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F81FFE">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 xml:space="preserve">Důsledky outsourcingu </w:t>
      </w:r>
      <w:r w:rsidRPr="00DF128A">
        <w:rPr>
          <w:rStyle w:val="Znakapoznpodarou"/>
          <w:rFonts w:ascii="Times New Roman" w:hAnsi="Times New Roman" w:cs="Times New Roman"/>
          <w:b/>
          <w:sz w:val="24"/>
          <w:szCs w:val="24"/>
        </w:rPr>
        <w:footnoteReference w:id="16"/>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Outsourcing s sebou přináší celou řadu ekonomických i sociálních důsledků, jak pro firmy či země, které outsourcing praktikují, tak i pro oblasti, do kterých jsou vyčleňovány nejrůznější činnosti firem.</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Jedním z nejdůležitějších ekonomických důsledků outsourcingu je zisk, který přivítají jak firmy provádějící outsourcing, tak firmy poskytující těmto firmám dané služby a tedy i </w:t>
      </w:r>
      <w:r w:rsidRPr="00DF128A">
        <w:rPr>
          <w:rFonts w:ascii="Times New Roman" w:hAnsi="Times New Roman" w:cs="Times New Roman"/>
          <w:sz w:val="24"/>
          <w:szCs w:val="24"/>
        </w:rPr>
        <w:lastRenderedPageBreak/>
        <w:t>celé ekonomiky rozvojových zemí, do kterých outsourcing směřuje. Růst hospodářství přináší značné sociální důsledky. Pro rozvojové země znamená snižování chudoby a tedy zlepšení životní úrovně. Výsledkem je formování nových společností s rostoucí střední třídou obyvatelstva.</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Outsourcing dále přináší do rozvojových zemí investice a generuje celou řadu nových pracovních míst. O zaměstnání v centrech outsourcingu je velký zájem. Získat práci ve firmách v těchto centrech je pro uchazeče o práci velice významnou a prestižní záležitostí. To podporuje především soutěživost, snahu o lepší vzdělání mezi lidmi žádajícími o práci.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Naopak podle průzkumů v USA většina populace tvrdí, že outsourcing škodí americké ekonomice. Především se domnívají, že způsobuje úbytek pracovních míst v USA. Odborníci tvrdí, že toto není závažným problémem pro americkou ekonomiku - ubývají jen méně kvalifikované pracovní pozice např. pracovníci call center a méně kvalifikovaní programátoři aj. Zastánci globalizace se přiklánějí k názoru, že využívání outsourcingu je velice přínosné. Především přináší zlevnění služeb a zboží na základě úspor, které outsourcing firmám přináší a umožňuje jejich dostupnost širší veřejnosti.</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Pozitivním přínosem outsourcingu (dle mého názoru) do rozvojových zemí je skutečnost, že často směřuje mimo hlavní město země. Může docházet k nižší migraci lidí do hlavního města a tedy snižování přelidněnosti v tomto prostoru a může následně vést k vytváření nových migračních center, kde dochází k růstu vzdělanosti a pracovních příležitostí.</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4F069E">
      <w:pPr>
        <w:widowControl w:val="0"/>
        <w:spacing w:line="276" w:lineRule="auto"/>
        <w:jc w:val="both"/>
      </w:pPr>
      <w:bookmarkStart w:id="33" w:name="_Toc301255442"/>
      <w:r w:rsidRPr="004F069E">
        <w:rPr>
          <w:rFonts w:ascii="Times New Roman" w:hAnsi="Times New Roman" w:cs="Times New Roman"/>
          <w:b/>
          <w:bCs/>
          <w:sz w:val="24"/>
          <w:szCs w:val="24"/>
        </w:rPr>
        <w:t>B</w:t>
      </w:r>
      <w:r w:rsidR="004F069E">
        <w:rPr>
          <w:rFonts w:ascii="Times New Roman" w:hAnsi="Times New Roman" w:cs="Times New Roman"/>
          <w:b/>
          <w:bCs/>
          <w:sz w:val="24"/>
          <w:szCs w:val="24"/>
        </w:rPr>
        <w:t>éngalúru před příchodem outsourcingu</w:t>
      </w:r>
      <w:bookmarkEnd w:id="33"/>
    </w:p>
    <w:p w:rsidR="00DF128A" w:rsidRPr="00DF128A" w:rsidRDefault="00DF128A" w:rsidP="00F81FFE">
      <w:pPr>
        <w:widowControl w:val="0"/>
        <w:spacing w:line="276" w:lineRule="auto"/>
        <w:jc w:val="both"/>
        <w:rPr>
          <w:rFonts w:ascii="Times New Roman" w:hAnsi="Times New Roman" w:cs="Times New Roman"/>
          <w:b/>
          <w:bCs/>
          <w:sz w:val="24"/>
          <w:szCs w:val="24"/>
        </w:rPr>
      </w:pPr>
      <w:r w:rsidRPr="00DF128A">
        <w:rPr>
          <w:rFonts w:ascii="Times New Roman" w:hAnsi="Times New Roman" w:cs="Times New Roman"/>
          <w:b/>
          <w:bCs/>
          <w:sz w:val="24"/>
          <w:szCs w:val="24"/>
        </w:rPr>
        <w:t>Geografie Béngalúru</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Béngalúru se nachází v jihovýchodní části Karnátaky (viz. příl. 1). </w:t>
      </w:r>
    </w:p>
    <w:p w:rsidR="00DF128A" w:rsidRPr="00DF128A" w:rsidRDefault="00DF128A" w:rsidP="00F81FFE">
      <w:pPr>
        <w:widowControl w:val="0"/>
        <w:spacing w:line="276" w:lineRule="auto"/>
        <w:jc w:val="both"/>
        <w:rPr>
          <w:rFonts w:ascii="Times New Roman" w:hAnsi="Times New Roman" w:cs="Times New Roman"/>
          <w:sz w:val="24"/>
          <w:szCs w:val="24"/>
        </w:rPr>
      </w:pPr>
      <w:r w:rsidRPr="00DF128A">
        <w:rPr>
          <w:rFonts w:ascii="Times New Roman" w:hAnsi="Times New Roman" w:cs="Times New Roman"/>
          <w:noProof/>
          <w:sz w:val="24"/>
          <w:szCs w:val="24"/>
          <w:lang w:eastAsia="cs-CZ"/>
        </w:rPr>
        <w:drawing>
          <wp:inline distT="0" distB="0" distL="0" distR="0" wp14:anchorId="33E633F5" wp14:editId="21640ABC">
            <wp:extent cx="2286000" cy="2514600"/>
            <wp:effectExtent l="19050" t="19050" r="19050" b="19050"/>
            <wp:docPr id="4" name="Obrázek 4" descr="bangalor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ngalore-map"/>
                    <pic:cNvPicPr>
                      <a:picLocks noChangeAspect="1" noChangeArrowheads="1"/>
                    </pic:cNvPicPr>
                  </pic:nvPicPr>
                  <pic:blipFill>
                    <a:blip r:embed="rId32">
                      <a:extLst>
                        <a:ext uri="{28A0092B-C50C-407E-A947-70E740481C1C}">
                          <a14:useLocalDpi xmlns:a14="http://schemas.microsoft.com/office/drawing/2010/main" val="0"/>
                        </a:ext>
                      </a:extLst>
                    </a:blip>
                    <a:srcRect l="4315" t="514" r="4436" b="2783"/>
                    <a:stretch>
                      <a:fillRect/>
                    </a:stretch>
                  </pic:blipFill>
                  <pic:spPr bwMode="auto">
                    <a:xfrm>
                      <a:off x="0" y="0"/>
                      <a:ext cx="2286000" cy="2514600"/>
                    </a:xfrm>
                    <a:prstGeom prst="rect">
                      <a:avLst/>
                    </a:prstGeom>
                    <a:noFill/>
                    <a:ln w="6350" cmpd="sng">
                      <a:solidFill>
                        <a:srgbClr val="000000"/>
                      </a:solidFill>
                      <a:miter lim="800000"/>
                      <a:headEnd/>
                      <a:tailEnd/>
                    </a:ln>
                    <a:effectLst/>
                  </pic:spPr>
                </pic:pic>
              </a:graphicData>
            </a:graphic>
          </wp:inline>
        </w:drawing>
      </w:r>
    </w:p>
    <w:p w:rsidR="00DF128A" w:rsidRPr="00DF128A" w:rsidRDefault="00DF128A" w:rsidP="00F81FFE">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Obr.1</w:t>
      </w:r>
      <w:r w:rsidR="004F069E">
        <w:rPr>
          <w:rFonts w:ascii="Times New Roman" w:hAnsi="Times New Roman" w:cs="Times New Roman"/>
          <w:sz w:val="24"/>
          <w:szCs w:val="24"/>
        </w:rPr>
        <w:t>:</w:t>
      </w:r>
      <w:r w:rsidRPr="00DF128A">
        <w:rPr>
          <w:rFonts w:ascii="Times New Roman" w:hAnsi="Times New Roman" w:cs="Times New Roman"/>
          <w:sz w:val="24"/>
          <w:szCs w:val="24"/>
        </w:rPr>
        <w:t xml:space="preserve"> Indie, Béngalúru</w:t>
      </w:r>
      <w:r w:rsidR="004F069E">
        <w:rPr>
          <w:rFonts w:ascii="Times New Roman" w:hAnsi="Times New Roman" w:cs="Times New Roman"/>
          <w:sz w:val="24"/>
          <w:szCs w:val="24"/>
        </w:rPr>
        <w:t xml:space="preserve"> (z</w:t>
      </w:r>
      <w:r w:rsidRPr="00DF128A">
        <w:rPr>
          <w:rFonts w:ascii="Times New Roman" w:hAnsi="Times New Roman" w:cs="Times New Roman"/>
          <w:sz w:val="24"/>
          <w:szCs w:val="24"/>
        </w:rPr>
        <w:t>: www.surfindia.com/travel/gifs/bangalore-map.jpg</w:t>
      </w:r>
      <w:r w:rsidR="004F069E">
        <w:rPr>
          <w:rFonts w:ascii="Times New Roman" w:hAnsi="Times New Roman" w:cs="Times New Roman"/>
          <w:sz w:val="24"/>
          <w:szCs w:val="24"/>
        </w:rPr>
        <w:t>)</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Po vyhlášení nezávislosti na britském impériu v roce 1947 se Béngalúru stalo hlavním městem a později ekonomickým centrem nového státu Karnátaka. Rostoucí metropole je nyní sídlem světově proslulých univerzit a výzkumných institutů a pyšní se druhou největší gramotností mezi metropolitními městy Indie (Krása 1980).</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V roce 1991 bylo největším městem Indie Mumbai s téměř deseti milióny obyvateli. </w:t>
      </w:r>
      <w:r w:rsidRPr="00DF128A">
        <w:rPr>
          <w:rFonts w:ascii="Times New Roman" w:hAnsi="Times New Roman" w:cs="Times New Roman"/>
          <w:sz w:val="24"/>
          <w:szCs w:val="24"/>
        </w:rPr>
        <w:lastRenderedPageBreak/>
        <w:t>Béngalúru se stalo v roce 1991 sedmým největším městem Indie. Už před rokem 1991 bylo průmyslovým střediskem celoindického významu, přitahujícím řadu imigrantů (Krása 1980).</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V letech 1991-2001 patřila mezi tři nejrychleji rostoucí indická města Púna, Súrat a Béngalúru, počet obyvatel vzrostl o více než 60%. K růstu těchto měst přispěla liberalizace ekonomiky. Nastal příliv domácího i zahraničního kapitálu a růst pracovních míst, která přilákala kvalifikovanou pracovní sílu z celé Indie. Béngalúru se stalo 5. největším městem Indie. Z hlediska počtu obyvatel předstihlo města Hajdarábád a Ahmadábád. Město Púna se zařadilo na 9. místo před Nágpur. Pořadí ostatních měst podle počtu obyvatel se k roku 2001 dále nezměnilo. Největšími městy zůstaly Mumbai a Dillí (viz tab. 1).</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Podle odhadu počtu obyvatel v roce 2008 se Béngalúru dostalo na 3. místo za největší města Indie Mumbai a Dillí. Předstihlo města Kolkata a Čennaj, kde počet obyvatel vzrostl od roku 2001 o 5%,  resp. 10%. Béngalúru patří mezi nejrychleji rostoucí města Indie i Asie. Za sedmileté období 2001-2008 došlo k nárůstu populace o 20%. K většímu populačnímu růstu došlo pouze ve městech Súrat a Púna (téměř o 30%). Od roku 1991 do roku 2008 vzrostl počet obyvatel Béngalúru o přibližně 95% (viz tab. 1).</w:t>
      </w:r>
    </w:p>
    <w:p w:rsidR="00F81FFE" w:rsidRDefault="00F81FFE" w:rsidP="00F81FFE">
      <w:pPr>
        <w:widowControl w:val="0"/>
        <w:spacing w:line="276" w:lineRule="auto"/>
        <w:jc w:val="both"/>
        <w:rPr>
          <w:rFonts w:ascii="Times New Roman" w:hAnsi="Times New Roman" w:cs="Times New Roman"/>
          <w:sz w:val="24"/>
          <w:szCs w:val="24"/>
        </w:rPr>
      </w:pPr>
    </w:p>
    <w:p w:rsidR="00DF128A" w:rsidRPr="00DF128A" w:rsidRDefault="00DF128A" w:rsidP="00F81FFE">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 xml:space="preserve">Tab. 1: Pořadí největších indických měst podle počtu obyvatel v letech 1991, </w:t>
      </w:r>
      <w:smartTag w:uri="urn:schemas-microsoft-com:office:smarttags" w:element="metricconverter">
        <w:smartTagPr>
          <w:attr w:name="ProductID" w:val="2001 a"/>
        </w:smartTagPr>
        <w:r w:rsidRPr="00DF128A">
          <w:rPr>
            <w:rFonts w:ascii="Times New Roman" w:hAnsi="Times New Roman" w:cs="Times New Roman"/>
            <w:sz w:val="24"/>
            <w:szCs w:val="24"/>
          </w:rPr>
          <w:t>2001 a</w:t>
        </w:r>
      </w:smartTag>
      <w:r w:rsidRPr="00DF128A">
        <w:rPr>
          <w:rFonts w:ascii="Times New Roman" w:hAnsi="Times New Roman" w:cs="Times New Roman"/>
          <w:sz w:val="24"/>
          <w:szCs w:val="24"/>
        </w:rPr>
        <w:t xml:space="preserve"> 2008.</w:t>
      </w:r>
    </w:p>
    <w:tbl>
      <w:tblPr>
        <w:tblW w:w="6850" w:type="dxa"/>
        <w:tblInd w:w="70" w:type="dxa"/>
        <w:tblCellMar>
          <w:left w:w="70" w:type="dxa"/>
          <w:right w:w="70" w:type="dxa"/>
        </w:tblCellMar>
        <w:tblLook w:val="0000" w:firstRow="0" w:lastRow="0" w:firstColumn="0" w:lastColumn="0" w:noHBand="0" w:noVBand="0"/>
      </w:tblPr>
      <w:tblGrid>
        <w:gridCol w:w="1282"/>
        <w:gridCol w:w="1168"/>
        <w:gridCol w:w="584"/>
        <w:gridCol w:w="1168"/>
        <w:gridCol w:w="584"/>
        <w:gridCol w:w="1575"/>
        <w:gridCol w:w="489"/>
      </w:tblGrid>
      <w:tr w:rsidR="00DF128A" w:rsidRPr="00DF128A" w:rsidTr="00DF128A">
        <w:trPr>
          <w:trHeight w:val="248"/>
        </w:trPr>
        <w:tc>
          <w:tcPr>
            <w:tcW w:w="1282" w:type="dxa"/>
            <w:tcBorders>
              <w:top w:val="single" w:sz="12" w:space="0" w:color="auto"/>
              <w:left w:val="single" w:sz="12" w:space="0" w:color="auto"/>
              <w:bottom w:val="double" w:sz="6" w:space="0" w:color="auto"/>
              <w:right w:val="single" w:sz="12" w:space="0" w:color="auto"/>
            </w:tcBorders>
            <w:shd w:val="clear" w:color="auto" w:fill="C0C0C0"/>
            <w:noWrap/>
            <w:vAlign w:val="center"/>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Město</w:t>
            </w:r>
          </w:p>
        </w:tc>
        <w:tc>
          <w:tcPr>
            <w:tcW w:w="1168" w:type="dxa"/>
            <w:tcBorders>
              <w:top w:val="single" w:sz="12" w:space="0" w:color="auto"/>
              <w:left w:val="nil"/>
              <w:bottom w:val="double" w:sz="6" w:space="0" w:color="auto"/>
              <w:right w:val="single" w:sz="8" w:space="0" w:color="auto"/>
            </w:tcBorders>
            <w:shd w:val="clear" w:color="auto" w:fill="C0C0C0"/>
            <w:noWrap/>
            <w:vAlign w:val="center"/>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1991</w:t>
            </w:r>
          </w:p>
        </w:tc>
        <w:tc>
          <w:tcPr>
            <w:tcW w:w="584" w:type="dxa"/>
            <w:tcBorders>
              <w:top w:val="single" w:sz="12" w:space="0" w:color="auto"/>
              <w:left w:val="nil"/>
              <w:bottom w:val="double" w:sz="6" w:space="0" w:color="auto"/>
              <w:right w:val="nil"/>
            </w:tcBorders>
            <w:shd w:val="clear" w:color="auto" w:fill="C0C0C0"/>
            <w:noWrap/>
            <w:vAlign w:val="center"/>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Poř.</w:t>
            </w:r>
          </w:p>
        </w:tc>
        <w:tc>
          <w:tcPr>
            <w:tcW w:w="1168" w:type="dxa"/>
            <w:tcBorders>
              <w:top w:val="single" w:sz="12" w:space="0" w:color="auto"/>
              <w:left w:val="single" w:sz="12" w:space="0" w:color="auto"/>
              <w:bottom w:val="double" w:sz="6" w:space="0" w:color="auto"/>
              <w:right w:val="single" w:sz="8" w:space="0" w:color="auto"/>
            </w:tcBorders>
            <w:shd w:val="clear" w:color="auto" w:fill="C0C0C0"/>
            <w:noWrap/>
            <w:vAlign w:val="center"/>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2001</w:t>
            </w:r>
          </w:p>
        </w:tc>
        <w:tc>
          <w:tcPr>
            <w:tcW w:w="584" w:type="dxa"/>
            <w:tcBorders>
              <w:top w:val="single" w:sz="12" w:space="0" w:color="auto"/>
              <w:left w:val="nil"/>
              <w:bottom w:val="double" w:sz="6" w:space="0" w:color="auto"/>
              <w:right w:val="single" w:sz="12" w:space="0" w:color="auto"/>
            </w:tcBorders>
            <w:shd w:val="clear" w:color="auto" w:fill="C0C0C0"/>
            <w:noWrap/>
            <w:vAlign w:val="center"/>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Poř.</w:t>
            </w:r>
          </w:p>
        </w:tc>
        <w:tc>
          <w:tcPr>
            <w:tcW w:w="1575" w:type="dxa"/>
            <w:tcBorders>
              <w:top w:val="single" w:sz="12" w:space="0" w:color="auto"/>
              <w:left w:val="nil"/>
              <w:bottom w:val="double" w:sz="6" w:space="0" w:color="auto"/>
              <w:right w:val="single" w:sz="8" w:space="0" w:color="auto"/>
            </w:tcBorders>
            <w:shd w:val="clear" w:color="auto" w:fill="C0C0C0"/>
            <w:noWrap/>
            <w:vAlign w:val="center"/>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Odhad 2008</w:t>
            </w:r>
          </w:p>
        </w:tc>
        <w:tc>
          <w:tcPr>
            <w:tcW w:w="489" w:type="dxa"/>
            <w:tcBorders>
              <w:top w:val="single" w:sz="12" w:space="0" w:color="auto"/>
              <w:left w:val="nil"/>
              <w:bottom w:val="double" w:sz="6" w:space="0" w:color="auto"/>
              <w:right w:val="single" w:sz="12" w:space="0" w:color="auto"/>
            </w:tcBorders>
            <w:shd w:val="clear" w:color="auto" w:fill="C0C0C0"/>
            <w:noWrap/>
            <w:vAlign w:val="center"/>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Poř.</w:t>
            </w:r>
          </w:p>
        </w:tc>
      </w:tr>
      <w:tr w:rsidR="00DF128A" w:rsidRPr="00DF128A" w:rsidTr="00DF128A">
        <w:trPr>
          <w:trHeight w:val="235"/>
        </w:trPr>
        <w:tc>
          <w:tcPr>
            <w:tcW w:w="1282" w:type="dxa"/>
            <w:tcBorders>
              <w:top w:val="nil"/>
              <w:left w:val="single" w:sz="12" w:space="0" w:color="auto"/>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 xml:space="preserve">Mumbai </w:t>
            </w:r>
          </w:p>
        </w:tc>
        <w:tc>
          <w:tcPr>
            <w:tcW w:w="1168"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9925891</w:t>
            </w:r>
          </w:p>
        </w:tc>
        <w:tc>
          <w:tcPr>
            <w:tcW w:w="584"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1.</w:t>
            </w:r>
          </w:p>
        </w:tc>
        <w:tc>
          <w:tcPr>
            <w:tcW w:w="1168"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11978450</w:t>
            </w:r>
          </w:p>
        </w:tc>
        <w:tc>
          <w:tcPr>
            <w:tcW w:w="584"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1.</w:t>
            </w:r>
          </w:p>
        </w:tc>
        <w:tc>
          <w:tcPr>
            <w:tcW w:w="1575"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13662885</w:t>
            </w:r>
          </w:p>
        </w:tc>
        <w:tc>
          <w:tcPr>
            <w:tcW w:w="489"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1.</w:t>
            </w:r>
          </w:p>
        </w:tc>
      </w:tr>
      <w:tr w:rsidR="00DF128A" w:rsidRPr="00DF128A" w:rsidTr="00DF128A">
        <w:trPr>
          <w:trHeight w:val="222"/>
        </w:trPr>
        <w:tc>
          <w:tcPr>
            <w:tcW w:w="1282" w:type="dxa"/>
            <w:tcBorders>
              <w:top w:val="nil"/>
              <w:left w:val="single" w:sz="12" w:space="0" w:color="auto"/>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 xml:space="preserve">Dillí </w:t>
            </w:r>
          </w:p>
        </w:tc>
        <w:tc>
          <w:tcPr>
            <w:tcW w:w="1168"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7206704</w:t>
            </w:r>
          </w:p>
        </w:tc>
        <w:tc>
          <w:tcPr>
            <w:tcW w:w="584"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2.</w:t>
            </w:r>
          </w:p>
        </w:tc>
        <w:tc>
          <w:tcPr>
            <w:tcW w:w="1168"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9879172</w:t>
            </w:r>
          </w:p>
        </w:tc>
        <w:tc>
          <w:tcPr>
            <w:tcW w:w="584"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2.</w:t>
            </w:r>
          </w:p>
        </w:tc>
        <w:tc>
          <w:tcPr>
            <w:tcW w:w="1575"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11954217</w:t>
            </w:r>
          </w:p>
        </w:tc>
        <w:tc>
          <w:tcPr>
            <w:tcW w:w="489"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2.</w:t>
            </w:r>
          </w:p>
        </w:tc>
      </w:tr>
      <w:tr w:rsidR="00DF128A" w:rsidRPr="00DF128A" w:rsidTr="00DF128A">
        <w:trPr>
          <w:trHeight w:val="222"/>
        </w:trPr>
        <w:tc>
          <w:tcPr>
            <w:tcW w:w="1282" w:type="dxa"/>
            <w:tcBorders>
              <w:top w:val="nil"/>
              <w:left w:val="single" w:sz="12" w:space="0" w:color="auto"/>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 xml:space="preserve">Kolkata </w:t>
            </w:r>
          </w:p>
        </w:tc>
        <w:tc>
          <w:tcPr>
            <w:tcW w:w="1168"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4399819</w:t>
            </w:r>
          </w:p>
        </w:tc>
        <w:tc>
          <w:tcPr>
            <w:tcW w:w="584"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3.</w:t>
            </w:r>
          </w:p>
        </w:tc>
        <w:tc>
          <w:tcPr>
            <w:tcW w:w="1168"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4572876</w:t>
            </w:r>
          </w:p>
        </w:tc>
        <w:tc>
          <w:tcPr>
            <w:tcW w:w="584"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3.</w:t>
            </w:r>
          </w:p>
        </w:tc>
        <w:tc>
          <w:tcPr>
            <w:tcW w:w="1575"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5021458</w:t>
            </w:r>
          </w:p>
        </w:tc>
        <w:tc>
          <w:tcPr>
            <w:tcW w:w="489"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4.</w:t>
            </w:r>
          </w:p>
        </w:tc>
      </w:tr>
      <w:tr w:rsidR="00DF128A" w:rsidRPr="00DF128A" w:rsidTr="00DF128A">
        <w:trPr>
          <w:trHeight w:val="222"/>
        </w:trPr>
        <w:tc>
          <w:tcPr>
            <w:tcW w:w="1282" w:type="dxa"/>
            <w:tcBorders>
              <w:top w:val="nil"/>
              <w:left w:val="single" w:sz="12" w:space="0" w:color="auto"/>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 xml:space="preserve">Čennaj </w:t>
            </w:r>
          </w:p>
        </w:tc>
        <w:tc>
          <w:tcPr>
            <w:tcW w:w="1168"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3841396</w:t>
            </w:r>
          </w:p>
        </w:tc>
        <w:tc>
          <w:tcPr>
            <w:tcW w:w="584"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4.</w:t>
            </w:r>
          </w:p>
        </w:tc>
        <w:tc>
          <w:tcPr>
            <w:tcW w:w="1168"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4343645</w:t>
            </w:r>
          </w:p>
        </w:tc>
        <w:tc>
          <w:tcPr>
            <w:tcW w:w="584"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4.</w:t>
            </w:r>
          </w:p>
        </w:tc>
        <w:tc>
          <w:tcPr>
            <w:tcW w:w="1575"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4562843</w:t>
            </w:r>
          </w:p>
        </w:tc>
        <w:tc>
          <w:tcPr>
            <w:tcW w:w="489"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5.</w:t>
            </w:r>
          </w:p>
        </w:tc>
      </w:tr>
      <w:tr w:rsidR="00DF128A" w:rsidRPr="00DF128A" w:rsidTr="00DF128A">
        <w:trPr>
          <w:trHeight w:val="222"/>
        </w:trPr>
        <w:tc>
          <w:tcPr>
            <w:tcW w:w="1282" w:type="dxa"/>
            <w:tcBorders>
              <w:top w:val="nil"/>
              <w:left w:val="single" w:sz="12" w:space="0" w:color="auto"/>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 xml:space="preserve">Hajdarábád </w:t>
            </w:r>
          </w:p>
        </w:tc>
        <w:tc>
          <w:tcPr>
            <w:tcW w:w="1168"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3043896</w:t>
            </w:r>
          </w:p>
        </w:tc>
        <w:tc>
          <w:tcPr>
            <w:tcW w:w="584"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5.</w:t>
            </w:r>
          </w:p>
        </w:tc>
        <w:tc>
          <w:tcPr>
            <w:tcW w:w="1168"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3637483</w:t>
            </w:r>
          </w:p>
        </w:tc>
        <w:tc>
          <w:tcPr>
            <w:tcW w:w="584"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6.</w:t>
            </w:r>
          </w:p>
        </w:tc>
        <w:tc>
          <w:tcPr>
            <w:tcW w:w="1575"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3980938</w:t>
            </w:r>
          </w:p>
        </w:tc>
        <w:tc>
          <w:tcPr>
            <w:tcW w:w="489"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6.</w:t>
            </w:r>
          </w:p>
        </w:tc>
      </w:tr>
      <w:tr w:rsidR="00DF128A" w:rsidRPr="00DF128A" w:rsidTr="00DF128A">
        <w:trPr>
          <w:trHeight w:val="222"/>
        </w:trPr>
        <w:tc>
          <w:tcPr>
            <w:tcW w:w="1282" w:type="dxa"/>
            <w:tcBorders>
              <w:top w:val="nil"/>
              <w:left w:val="single" w:sz="12" w:space="0" w:color="auto"/>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 xml:space="preserve">Ahmadábád </w:t>
            </w:r>
          </w:p>
        </w:tc>
        <w:tc>
          <w:tcPr>
            <w:tcW w:w="1168"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2876710</w:t>
            </w:r>
          </w:p>
        </w:tc>
        <w:tc>
          <w:tcPr>
            <w:tcW w:w="584"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6.</w:t>
            </w:r>
          </w:p>
        </w:tc>
        <w:tc>
          <w:tcPr>
            <w:tcW w:w="1168"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3520085</w:t>
            </w:r>
          </w:p>
        </w:tc>
        <w:tc>
          <w:tcPr>
            <w:tcW w:w="584"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7.</w:t>
            </w:r>
          </w:p>
        </w:tc>
        <w:tc>
          <w:tcPr>
            <w:tcW w:w="1575"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3867336</w:t>
            </w:r>
          </w:p>
        </w:tc>
        <w:tc>
          <w:tcPr>
            <w:tcW w:w="489"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7.</w:t>
            </w:r>
          </w:p>
        </w:tc>
      </w:tr>
      <w:tr w:rsidR="00DF128A" w:rsidRPr="00DF128A" w:rsidTr="00DF128A">
        <w:trPr>
          <w:trHeight w:val="222"/>
        </w:trPr>
        <w:tc>
          <w:tcPr>
            <w:tcW w:w="1282" w:type="dxa"/>
            <w:tcBorders>
              <w:top w:val="nil"/>
              <w:left w:val="single" w:sz="12" w:space="0" w:color="auto"/>
              <w:bottom w:val="single" w:sz="4" w:space="0" w:color="auto"/>
              <w:right w:val="single" w:sz="12" w:space="0" w:color="auto"/>
            </w:tcBorders>
            <w:shd w:val="clear" w:color="auto" w:fill="FFCC99"/>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 xml:space="preserve">Béngalúru </w:t>
            </w:r>
          </w:p>
        </w:tc>
        <w:tc>
          <w:tcPr>
            <w:tcW w:w="1168" w:type="dxa"/>
            <w:tcBorders>
              <w:top w:val="nil"/>
              <w:left w:val="nil"/>
              <w:bottom w:val="single" w:sz="4" w:space="0" w:color="auto"/>
              <w:right w:val="single" w:sz="8" w:space="0" w:color="auto"/>
            </w:tcBorders>
            <w:shd w:val="clear" w:color="auto" w:fill="FFCC99"/>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2660088</w:t>
            </w:r>
          </w:p>
        </w:tc>
        <w:tc>
          <w:tcPr>
            <w:tcW w:w="584" w:type="dxa"/>
            <w:tcBorders>
              <w:top w:val="nil"/>
              <w:left w:val="nil"/>
              <w:bottom w:val="single" w:sz="4" w:space="0" w:color="auto"/>
              <w:right w:val="single" w:sz="12" w:space="0" w:color="auto"/>
            </w:tcBorders>
            <w:shd w:val="clear" w:color="auto" w:fill="FFCC99"/>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7.</w:t>
            </w:r>
          </w:p>
        </w:tc>
        <w:tc>
          <w:tcPr>
            <w:tcW w:w="1168" w:type="dxa"/>
            <w:tcBorders>
              <w:top w:val="nil"/>
              <w:left w:val="nil"/>
              <w:bottom w:val="single" w:sz="4" w:space="0" w:color="auto"/>
              <w:right w:val="single" w:sz="8" w:space="0" w:color="auto"/>
            </w:tcBorders>
            <w:shd w:val="clear" w:color="auto" w:fill="FFCC99"/>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4301326</w:t>
            </w:r>
          </w:p>
        </w:tc>
        <w:tc>
          <w:tcPr>
            <w:tcW w:w="584" w:type="dxa"/>
            <w:tcBorders>
              <w:top w:val="nil"/>
              <w:left w:val="nil"/>
              <w:bottom w:val="single" w:sz="4" w:space="0" w:color="auto"/>
              <w:right w:val="single" w:sz="12" w:space="0" w:color="auto"/>
            </w:tcBorders>
            <w:shd w:val="clear" w:color="auto" w:fill="FFCC99"/>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5.</w:t>
            </w:r>
          </w:p>
        </w:tc>
        <w:tc>
          <w:tcPr>
            <w:tcW w:w="1575" w:type="dxa"/>
            <w:tcBorders>
              <w:top w:val="nil"/>
              <w:left w:val="nil"/>
              <w:bottom w:val="single" w:sz="4" w:space="0" w:color="auto"/>
              <w:right w:val="single" w:sz="8" w:space="0" w:color="auto"/>
            </w:tcBorders>
            <w:shd w:val="clear" w:color="auto" w:fill="FFCC99"/>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5180533</w:t>
            </w:r>
          </w:p>
        </w:tc>
        <w:tc>
          <w:tcPr>
            <w:tcW w:w="489" w:type="dxa"/>
            <w:tcBorders>
              <w:top w:val="nil"/>
              <w:left w:val="nil"/>
              <w:bottom w:val="single" w:sz="4" w:space="0" w:color="auto"/>
              <w:right w:val="single" w:sz="12" w:space="0" w:color="auto"/>
            </w:tcBorders>
            <w:shd w:val="clear" w:color="auto" w:fill="FFCC99"/>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3.</w:t>
            </w:r>
          </w:p>
        </w:tc>
      </w:tr>
      <w:tr w:rsidR="00DF128A" w:rsidRPr="00DF128A" w:rsidTr="00DF128A">
        <w:trPr>
          <w:trHeight w:val="222"/>
        </w:trPr>
        <w:tc>
          <w:tcPr>
            <w:tcW w:w="1282" w:type="dxa"/>
            <w:tcBorders>
              <w:top w:val="nil"/>
              <w:left w:val="single" w:sz="12" w:space="0" w:color="auto"/>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Kánpur</w:t>
            </w:r>
          </w:p>
        </w:tc>
        <w:tc>
          <w:tcPr>
            <w:tcW w:w="1168"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1874409</w:t>
            </w:r>
          </w:p>
        </w:tc>
        <w:tc>
          <w:tcPr>
            <w:tcW w:w="584"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8.</w:t>
            </w:r>
          </w:p>
        </w:tc>
        <w:tc>
          <w:tcPr>
            <w:tcW w:w="1168"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2551337</w:t>
            </w:r>
          </w:p>
        </w:tc>
        <w:tc>
          <w:tcPr>
            <w:tcW w:w="584"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8.</w:t>
            </w:r>
          </w:p>
        </w:tc>
        <w:tc>
          <w:tcPr>
            <w:tcW w:w="1575"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3067663</w:t>
            </w:r>
          </w:p>
        </w:tc>
        <w:tc>
          <w:tcPr>
            <w:tcW w:w="489"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10.</w:t>
            </w:r>
          </w:p>
        </w:tc>
      </w:tr>
      <w:tr w:rsidR="00DF128A" w:rsidRPr="00DF128A" w:rsidTr="00DF128A">
        <w:trPr>
          <w:trHeight w:val="222"/>
        </w:trPr>
        <w:tc>
          <w:tcPr>
            <w:tcW w:w="1282" w:type="dxa"/>
            <w:tcBorders>
              <w:top w:val="nil"/>
              <w:left w:val="single" w:sz="12" w:space="0" w:color="auto"/>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Nágpur</w:t>
            </w:r>
          </w:p>
        </w:tc>
        <w:tc>
          <w:tcPr>
            <w:tcW w:w="1168"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1624752</w:t>
            </w:r>
          </w:p>
        </w:tc>
        <w:tc>
          <w:tcPr>
            <w:tcW w:w="584"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9.</w:t>
            </w:r>
          </w:p>
        </w:tc>
        <w:tc>
          <w:tcPr>
            <w:tcW w:w="1168"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2052066</w:t>
            </w:r>
          </w:p>
        </w:tc>
        <w:tc>
          <w:tcPr>
            <w:tcW w:w="584"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11.</w:t>
            </w:r>
          </w:p>
        </w:tc>
        <w:tc>
          <w:tcPr>
            <w:tcW w:w="1575" w:type="dxa"/>
            <w:tcBorders>
              <w:top w:val="nil"/>
              <w:left w:val="nil"/>
              <w:bottom w:val="single" w:sz="4"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2359331</w:t>
            </w:r>
          </w:p>
        </w:tc>
        <w:tc>
          <w:tcPr>
            <w:tcW w:w="489" w:type="dxa"/>
            <w:tcBorders>
              <w:top w:val="nil"/>
              <w:left w:val="nil"/>
              <w:bottom w:val="single" w:sz="4"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12.</w:t>
            </w:r>
          </w:p>
        </w:tc>
      </w:tr>
      <w:tr w:rsidR="00DF128A" w:rsidRPr="00DF128A" w:rsidTr="00DF128A">
        <w:trPr>
          <w:trHeight w:val="222"/>
        </w:trPr>
        <w:tc>
          <w:tcPr>
            <w:tcW w:w="1282" w:type="dxa"/>
            <w:tcBorders>
              <w:top w:val="nil"/>
              <w:left w:val="single" w:sz="12" w:space="0" w:color="auto"/>
              <w:bottom w:val="nil"/>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Púna</w:t>
            </w:r>
          </w:p>
        </w:tc>
        <w:tc>
          <w:tcPr>
            <w:tcW w:w="1168" w:type="dxa"/>
            <w:tcBorders>
              <w:top w:val="nil"/>
              <w:left w:val="nil"/>
              <w:bottom w:val="nil"/>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1566651</w:t>
            </w:r>
          </w:p>
        </w:tc>
        <w:tc>
          <w:tcPr>
            <w:tcW w:w="584" w:type="dxa"/>
            <w:tcBorders>
              <w:top w:val="nil"/>
              <w:left w:val="nil"/>
              <w:bottom w:val="nil"/>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10.</w:t>
            </w:r>
          </w:p>
        </w:tc>
        <w:tc>
          <w:tcPr>
            <w:tcW w:w="1168" w:type="dxa"/>
            <w:tcBorders>
              <w:top w:val="nil"/>
              <w:left w:val="nil"/>
              <w:bottom w:val="nil"/>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2538473</w:t>
            </w:r>
          </w:p>
        </w:tc>
        <w:tc>
          <w:tcPr>
            <w:tcW w:w="584" w:type="dxa"/>
            <w:tcBorders>
              <w:top w:val="nil"/>
              <w:left w:val="nil"/>
              <w:bottom w:val="nil"/>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9.</w:t>
            </w:r>
          </w:p>
        </w:tc>
        <w:tc>
          <w:tcPr>
            <w:tcW w:w="1575" w:type="dxa"/>
            <w:tcBorders>
              <w:top w:val="nil"/>
              <w:left w:val="nil"/>
              <w:bottom w:val="nil"/>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3230322</w:t>
            </w:r>
          </w:p>
        </w:tc>
        <w:tc>
          <w:tcPr>
            <w:tcW w:w="489" w:type="dxa"/>
            <w:tcBorders>
              <w:top w:val="nil"/>
              <w:left w:val="nil"/>
              <w:bottom w:val="nil"/>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8.</w:t>
            </w:r>
          </w:p>
        </w:tc>
      </w:tr>
      <w:tr w:rsidR="00DF128A" w:rsidRPr="00DF128A" w:rsidTr="00DF128A">
        <w:trPr>
          <w:trHeight w:val="235"/>
        </w:trPr>
        <w:tc>
          <w:tcPr>
            <w:tcW w:w="1282" w:type="dxa"/>
            <w:tcBorders>
              <w:top w:val="single" w:sz="4" w:space="0" w:color="auto"/>
              <w:left w:val="single" w:sz="12" w:space="0" w:color="auto"/>
              <w:bottom w:val="single" w:sz="12"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Súrat</w:t>
            </w:r>
          </w:p>
        </w:tc>
        <w:tc>
          <w:tcPr>
            <w:tcW w:w="1168" w:type="dxa"/>
            <w:tcBorders>
              <w:top w:val="single" w:sz="4" w:space="0" w:color="auto"/>
              <w:left w:val="nil"/>
              <w:bottom w:val="single" w:sz="12"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1498817</w:t>
            </w:r>
          </w:p>
        </w:tc>
        <w:tc>
          <w:tcPr>
            <w:tcW w:w="584" w:type="dxa"/>
            <w:tcBorders>
              <w:top w:val="single" w:sz="4" w:space="0" w:color="auto"/>
              <w:left w:val="nil"/>
              <w:bottom w:val="single" w:sz="12"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11.</w:t>
            </w:r>
          </w:p>
        </w:tc>
        <w:tc>
          <w:tcPr>
            <w:tcW w:w="1168" w:type="dxa"/>
            <w:tcBorders>
              <w:top w:val="single" w:sz="4" w:space="0" w:color="auto"/>
              <w:left w:val="nil"/>
              <w:bottom w:val="single" w:sz="12"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2433835</w:t>
            </w:r>
          </w:p>
        </w:tc>
        <w:tc>
          <w:tcPr>
            <w:tcW w:w="584" w:type="dxa"/>
            <w:tcBorders>
              <w:top w:val="single" w:sz="4" w:space="0" w:color="auto"/>
              <w:left w:val="nil"/>
              <w:bottom w:val="single" w:sz="12"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10.</w:t>
            </w:r>
          </w:p>
        </w:tc>
        <w:tc>
          <w:tcPr>
            <w:tcW w:w="1575" w:type="dxa"/>
            <w:tcBorders>
              <w:top w:val="single" w:sz="4" w:space="0" w:color="auto"/>
              <w:left w:val="nil"/>
              <w:bottom w:val="single" w:sz="12" w:space="0" w:color="auto"/>
              <w:right w:val="single" w:sz="8" w:space="0" w:color="auto"/>
            </w:tcBorders>
            <w:shd w:val="clear" w:color="auto" w:fill="auto"/>
            <w:noWrap/>
            <w:vAlign w:val="bottom"/>
          </w:tcPr>
          <w:p w:rsidR="00DF128A" w:rsidRPr="00F81FFE" w:rsidRDefault="00DF128A" w:rsidP="00F81FFE">
            <w:pPr>
              <w:widowControl w:val="0"/>
              <w:spacing w:line="276" w:lineRule="auto"/>
              <w:jc w:val="both"/>
              <w:rPr>
                <w:rFonts w:cstheme="minorHAnsi"/>
                <w:sz w:val="20"/>
                <w:szCs w:val="20"/>
              </w:rPr>
            </w:pPr>
            <w:r w:rsidRPr="00F81FFE">
              <w:rPr>
                <w:rFonts w:cstheme="minorHAnsi"/>
                <w:sz w:val="20"/>
                <w:szCs w:val="20"/>
              </w:rPr>
              <w:t>3124249</w:t>
            </w:r>
          </w:p>
        </w:tc>
        <w:tc>
          <w:tcPr>
            <w:tcW w:w="489" w:type="dxa"/>
            <w:tcBorders>
              <w:top w:val="single" w:sz="4" w:space="0" w:color="auto"/>
              <w:left w:val="nil"/>
              <w:bottom w:val="single" w:sz="12" w:space="0" w:color="auto"/>
              <w:right w:val="single" w:sz="12" w:space="0" w:color="auto"/>
            </w:tcBorders>
            <w:shd w:val="clear" w:color="auto" w:fill="auto"/>
            <w:noWrap/>
            <w:vAlign w:val="bottom"/>
          </w:tcPr>
          <w:p w:rsidR="00DF128A" w:rsidRPr="00F81FFE" w:rsidRDefault="00DF128A" w:rsidP="00F81FFE">
            <w:pPr>
              <w:widowControl w:val="0"/>
              <w:spacing w:line="276" w:lineRule="auto"/>
              <w:jc w:val="both"/>
              <w:rPr>
                <w:rFonts w:cstheme="minorHAnsi"/>
                <w:b/>
                <w:bCs/>
                <w:sz w:val="20"/>
                <w:szCs w:val="20"/>
              </w:rPr>
            </w:pPr>
            <w:r w:rsidRPr="00F81FFE">
              <w:rPr>
                <w:rFonts w:cstheme="minorHAnsi"/>
                <w:b/>
                <w:bCs/>
                <w:sz w:val="20"/>
                <w:szCs w:val="20"/>
              </w:rPr>
              <w:t>9.</w:t>
            </w:r>
          </w:p>
        </w:tc>
      </w:tr>
    </w:tbl>
    <w:p w:rsidR="00DF128A" w:rsidRDefault="004F069E" w:rsidP="00F81FFE">
      <w:pPr>
        <w:widowControl w:val="0"/>
        <w:spacing w:line="276" w:lineRule="auto"/>
        <w:jc w:val="both"/>
        <w:rPr>
          <w:rFonts w:ascii="Times New Roman" w:hAnsi="Times New Roman" w:cs="Times New Roman"/>
          <w:bCs/>
          <w:sz w:val="24"/>
          <w:szCs w:val="24"/>
        </w:rPr>
      </w:pPr>
      <w:r>
        <w:rPr>
          <w:rFonts w:ascii="Times New Roman" w:hAnsi="Times New Roman" w:cs="Times New Roman"/>
          <w:bCs/>
          <w:sz w:val="24"/>
          <w:szCs w:val="24"/>
        </w:rPr>
        <w:t>Zdroj</w:t>
      </w:r>
      <w:r w:rsidR="00DF128A" w:rsidRPr="00DF128A">
        <w:rPr>
          <w:rFonts w:ascii="Times New Roman" w:hAnsi="Times New Roman" w:cs="Times New Roman"/>
          <w:bCs/>
          <w:sz w:val="24"/>
          <w:szCs w:val="24"/>
        </w:rPr>
        <w:t>: Census of India (2001)</w:t>
      </w:r>
    </w:p>
    <w:p w:rsidR="00F81FFE" w:rsidRPr="00DF128A" w:rsidRDefault="00F81FFE" w:rsidP="00F81FFE">
      <w:pPr>
        <w:widowControl w:val="0"/>
        <w:spacing w:line="276" w:lineRule="auto"/>
        <w:jc w:val="both"/>
        <w:rPr>
          <w:rFonts w:ascii="Times New Roman" w:hAnsi="Times New Roman" w:cs="Times New Roman"/>
          <w:bCs/>
          <w:sz w:val="24"/>
          <w:szCs w:val="24"/>
        </w:rPr>
      </w:pPr>
    </w:p>
    <w:p w:rsidR="00DF128A" w:rsidRPr="00DF128A" w:rsidRDefault="00DF128A" w:rsidP="00F81FFE">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noProof/>
          <w:sz w:val="24"/>
          <w:szCs w:val="24"/>
          <w:lang w:eastAsia="cs-CZ"/>
        </w:rPr>
        <w:lastRenderedPageBreak/>
        <w:drawing>
          <wp:inline distT="0" distB="0" distL="0" distR="0" wp14:anchorId="15FC81C7" wp14:editId="130B5A9B">
            <wp:extent cx="3886200" cy="2847975"/>
            <wp:effectExtent l="0" t="0" r="0" b="0"/>
            <wp:docPr id="3" name="Graf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F128A" w:rsidRPr="00DF128A" w:rsidRDefault="00DF128A" w:rsidP="00F81FFE">
      <w:pPr>
        <w:widowControl w:val="0"/>
        <w:spacing w:line="276" w:lineRule="auto"/>
        <w:jc w:val="both"/>
        <w:rPr>
          <w:rFonts w:ascii="Times New Roman" w:hAnsi="Times New Roman" w:cs="Times New Roman"/>
          <w:bCs/>
          <w:sz w:val="24"/>
          <w:szCs w:val="24"/>
        </w:rPr>
      </w:pPr>
      <w:r w:rsidRPr="00DF128A">
        <w:rPr>
          <w:rFonts w:ascii="Times New Roman" w:hAnsi="Times New Roman" w:cs="Times New Roman"/>
          <w:bCs/>
          <w:sz w:val="24"/>
          <w:szCs w:val="24"/>
        </w:rPr>
        <w:t>Obr.1 Růst počtu obyvatel v deseti největších městech Indie v letech 1991-2008.</w:t>
      </w:r>
    </w:p>
    <w:p w:rsidR="00DF128A" w:rsidRPr="00DF128A" w:rsidRDefault="004F069E" w:rsidP="00F81FFE">
      <w:pPr>
        <w:widowControl w:val="0"/>
        <w:spacing w:line="276" w:lineRule="auto"/>
        <w:jc w:val="both"/>
        <w:rPr>
          <w:rFonts w:ascii="Times New Roman" w:hAnsi="Times New Roman" w:cs="Times New Roman"/>
          <w:bCs/>
          <w:sz w:val="24"/>
          <w:szCs w:val="24"/>
        </w:rPr>
      </w:pPr>
      <w:r>
        <w:rPr>
          <w:rFonts w:ascii="Times New Roman" w:hAnsi="Times New Roman" w:cs="Times New Roman"/>
          <w:bCs/>
          <w:sz w:val="24"/>
          <w:szCs w:val="24"/>
        </w:rPr>
        <w:t>Zdroj</w:t>
      </w:r>
      <w:r w:rsidR="00DF128A" w:rsidRPr="00DF128A">
        <w:rPr>
          <w:rFonts w:ascii="Times New Roman" w:hAnsi="Times New Roman" w:cs="Times New Roman"/>
          <w:bCs/>
          <w:sz w:val="24"/>
          <w:szCs w:val="24"/>
        </w:rPr>
        <w:t>: Census of India (2001)</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128A" w:rsidP="00F81FFE">
      <w:pPr>
        <w:widowControl w:val="0"/>
        <w:spacing w:line="276" w:lineRule="auto"/>
        <w:jc w:val="both"/>
        <w:rPr>
          <w:rFonts w:ascii="Times New Roman" w:hAnsi="Times New Roman" w:cs="Times New Roman"/>
          <w:bCs/>
          <w:sz w:val="24"/>
          <w:szCs w:val="24"/>
        </w:rPr>
      </w:pPr>
      <w:r w:rsidRPr="00DF128A">
        <w:rPr>
          <w:rFonts w:ascii="Times New Roman" w:hAnsi="Times New Roman" w:cs="Times New Roman"/>
          <w:b/>
          <w:sz w:val="24"/>
          <w:szCs w:val="24"/>
        </w:rPr>
        <w:t>Vzdělání v Béngalúru</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Gramotnost v Béngalúru je 84%, má druhou nejvyšší gramotnost mezi metropolemi Indie. Vysoká gramotnost má svůj původ v kvalitní vzdělávací infrastruktuře. Již od 19. století zde vznikaly školy a byl zde zaveden západní systém školství. Béngalúru je sídlem světově známých univerzit, vzdělávacích institutů a ústavů pro výzkum a vývoj. V roce 1964 zde vznikla Béngalúrská univerzita (Bangalore University), jejíž absolventi nacházejí často uplatnění v zahraničí. Nachází se zde Indický institut vědy, který je předním institutem pro výzkum v Indii. Je zde také řada právnických, lékařských a inženýrských škol, vzdělávacích institutů pro management, vědu a informační technologie (Wikipedia 2008b).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4F069E" w:rsidP="004F069E">
      <w:pPr>
        <w:pStyle w:val="Nadpis1"/>
        <w:ind w:firstLine="0"/>
        <w:jc w:val="left"/>
      </w:pPr>
      <w:bookmarkStart w:id="34" w:name="_Toc331023969"/>
      <w:r>
        <w:t>Bengalúru jako centrum outsourcingu</w:t>
      </w:r>
      <w:bookmarkEnd w:id="34"/>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Indická ekonomika byla před rokem 1991 relativně uzavřena z hlediska mezinárodního obchodu a zahraničních investic. Po roce 1991 se Indie začala více zapojovat do globálního obchodování a umožnila přístup přímých zahraničních investic (PZI) na domácí trh. Vláda podporovala tuto politiku zrušením řady regulačních opatření. Karnátaka byla jedním z indických států, který ihned vytvořil dobré podmínky pro příchod PZI a přilákal řadu zahraničních firem. Hlavním střediskem tohoto rozvoje se stalo Béngalúru (Bradshaw 1997).</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Rozvoj průmyslu v Béngalúru má svůj původ v období po vzniku nezávislosti Indie. V 50., </w:t>
      </w:r>
      <w:smartTag w:uri="urn:schemas-microsoft-com:office:smarttags" w:element="metricconverter">
        <w:smartTagPr>
          <w:attr w:name="ProductID" w:val="60. a"/>
        </w:smartTagPr>
        <w:r w:rsidRPr="00DF128A">
          <w:rPr>
            <w:rFonts w:ascii="Times New Roman" w:hAnsi="Times New Roman" w:cs="Times New Roman"/>
            <w:sz w:val="24"/>
            <w:szCs w:val="24"/>
          </w:rPr>
          <w:t>60. a</w:t>
        </w:r>
      </w:smartTag>
      <w:r w:rsidRPr="00DF128A">
        <w:rPr>
          <w:rFonts w:ascii="Times New Roman" w:hAnsi="Times New Roman" w:cs="Times New Roman"/>
          <w:sz w:val="24"/>
          <w:szCs w:val="24"/>
        </w:rPr>
        <w:t xml:space="preserve"> 70. letech 20. století sem směřovaly státní investice do veřejného sektoru průmyslu. Byly založeny státní podniky v odvětvích strojírenského, telekomunikačního nebo elektrotechnického průmyslu, např. Hindustan Aeronautics Limited (letecký průmysl),  Bharat Electronics Limited (elektrotechnický průmysl), Hindustan Machine Tools (strojírenský průmysl), Indian Telephone Industrie (telekomunikační průmysl), Indian Space Research Organisation (vesmírný výzkum) aj. Vláda se rozhodla umístit do Béngalúru také obranný výzkum a Indický vědecký institut (</w:t>
      </w:r>
      <w:r w:rsidRPr="00DF128A">
        <w:rPr>
          <w:rFonts w:ascii="Times New Roman" w:hAnsi="Times New Roman" w:cs="Times New Roman"/>
          <w:i/>
          <w:iCs/>
          <w:sz w:val="24"/>
          <w:szCs w:val="24"/>
        </w:rPr>
        <w:t>Indian Institute of Science</w:t>
      </w:r>
      <w:r w:rsidRPr="00DF128A">
        <w:rPr>
          <w:rFonts w:ascii="Times New Roman" w:hAnsi="Times New Roman" w:cs="Times New Roman"/>
          <w:sz w:val="24"/>
          <w:szCs w:val="24"/>
        </w:rPr>
        <w:t xml:space="preserve">) z důvodu strategické pozice Béngalúru daleko od neklidných hranic s Pákistánem a Čínou. Vedle státních podniků </w:t>
      </w:r>
      <w:r w:rsidRPr="00DF128A">
        <w:rPr>
          <w:rFonts w:ascii="Times New Roman" w:hAnsi="Times New Roman" w:cs="Times New Roman"/>
          <w:sz w:val="24"/>
          <w:szCs w:val="24"/>
        </w:rPr>
        <w:lastRenderedPageBreak/>
        <w:t>přicházely do Béngalúru také soukromé elektrotechnické firmy, které lákala přítomnost kvalifikované pracovní síly. Příchod soukromých firem znamenal v 80. letech další průmyslový rozvoj. Byla sem přemístěna i řada hi-tech firem z přístavního města Mumbai. Důvodem přesunu firem byla vzrůstající cena pozemků a životních nákladů v Mumbai. Existence státních podniků, vzdělávacích a výzkumných středisek podpořila dále vznik podniků zabývajících se informačními technologiemi, především vývojem softwaru (Lateef 2008).</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První zahraniční softwarová firma, která vybudovala svoji pobočku v Béngalúru, byla firma Texas Instruments v roce 1985. Tato firma měla satelitní spojení se svým centrem v USA. Po příchodu této průkopnické firmy byla přilákána do města celá řada dalších zahraničních firem a s ní nová pracovní síla z různých států Indie i ze zahraničí. Dalšími firmami následujícími Texas Instruments byly firmy Hewlett-Packard, Oracle, Siemens a Motorola na počátku 90. let (Balasubramanyam a Balasubramanyam 2008).</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Ekonomický růst města je dnes založen především na sekundárním a terciérním sektoru hospodářství. V poslední době (především v druhé polovině 90. let) se město stalo střediskem informačních a komunikačních technologií a s nimi spojených služeb (především podnikový procesní outsourcing). Béngalúru se stalo globálním centrem díky vzniku průmyslové výroby zahrnující produkci počítačového hardwaru a telekomunikačních zařízení. Sektor služeb se zabývá vývojem softwaru; provozem počítačových zařízení; využíváním počítačů ve vládě, zdravotnictví, vzdělání, výzkumných a finančních sektorech; využíváním počítačové techniky v IT službách (call-centra, přepis lékařských záznamů) a telekomunikačních službách (Lateef 2008).</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4F069E" w:rsidRDefault="004F069E" w:rsidP="004F069E">
      <w:pPr>
        <w:rPr>
          <w:rFonts w:ascii="Times New Roman" w:hAnsi="Times New Roman" w:cs="Times New Roman"/>
          <w:b/>
          <w:sz w:val="24"/>
          <w:szCs w:val="24"/>
        </w:rPr>
      </w:pPr>
      <w:bookmarkStart w:id="35" w:name="_Toc301255444"/>
      <w:r w:rsidRPr="004F069E">
        <w:rPr>
          <w:rFonts w:ascii="Times New Roman" w:hAnsi="Times New Roman" w:cs="Times New Roman"/>
          <w:b/>
          <w:sz w:val="24"/>
          <w:szCs w:val="24"/>
        </w:rPr>
        <w:t>Faktory vzniku outsourcingu v Béngalú</w:t>
      </w:r>
      <w:r>
        <w:rPr>
          <w:rFonts w:ascii="Times New Roman" w:hAnsi="Times New Roman" w:cs="Times New Roman"/>
          <w:b/>
          <w:sz w:val="24"/>
          <w:szCs w:val="24"/>
        </w:rPr>
        <w:t>r</w:t>
      </w:r>
      <w:r w:rsidRPr="004F069E">
        <w:rPr>
          <w:rFonts w:ascii="Times New Roman" w:hAnsi="Times New Roman" w:cs="Times New Roman"/>
          <w:b/>
          <w:sz w:val="24"/>
          <w:szCs w:val="24"/>
        </w:rPr>
        <w:t>u</w:t>
      </w:r>
      <w:r w:rsidR="00DF128A" w:rsidRPr="004F069E">
        <w:rPr>
          <w:rFonts w:ascii="Times New Roman" w:hAnsi="Times New Roman" w:cs="Times New Roman"/>
          <w:b/>
          <w:sz w:val="24"/>
          <w:szCs w:val="24"/>
          <w:vertAlign w:val="superscript"/>
        </w:rPr>
        <w:footnoteReference w:id="17"/>
      </w:r>
      <w:bookmarkEnd w:id="35"/>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Konec 90. let 20. století je spojený s velkým rozvojem Internetu, který skončil neúspěchem pro mnoho firem investujících do tohoto nového fenoménu. Zásluhou mnoha webových investorů došlo k instalování kvalitních kabelů s optickými vlákny na dno oceánu, které umožnily zrychlení a zlevnění komunikace přes oceán, tedy hlavně mezi Amerikou a Indií. Toto byla jedna z příčin rychlého rozvoje offshore outsourcingu. Jakékoliv služby, call-centra, podnikové podpůrné operace nebo znalosti, které mohly být digitalizované, bylo možné globálně přenést k levnějším a schopnějším poskytovatelům daných služeb (Friedman 2006).</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Další příčinou rozvoje outsourcingu do Indie byla počítačová krize, kterou měl přinést rok 2000. Byla spojena se zastaralými typy počítačů užívanými v mnoha oborech lidské činnosti, které by s příchodem nového století nebyly schopny rozpoznat správný letopočet a pravděpodobně by došlo k celkovému kolapsu počítačové sítě a tedy i ke kolapsu celé ekonomiky ve světě. Tento hrozící problém se podařilo vyřešit ve spolupráci s indickými technologickými odborníky, které znamenaly pro západní společnosti zdroj početné a zároveň levné, anglicky mluvící a kvalifikované pracovní síly. Tato krize umožnila novou spolupráci Indie s Amerikou v oblasti outsourcingu a upozornila na kvalitu indických technologických pracovníků (Friedman 2006).</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Béngalúru se stalo významným centrem outsourcingu v průběhu 90. let 20. století. </w:t>
      </w:r>
      <w:r w:rsidRPr="00DF128A">
        <w:rPr>
          <w:rFonts w:ascii="Times New Roman" w:hAnsi="Times New Roman" w:cs="Times New Roman"/>
          <w:sz w:val="24"/>
          <w:szCs w:val="24"/>
        </w:rPr>
        <w:lastRenderedPageBreak/>
        <w:t>Investice byly směřovány do tohoto města hned z několika důvodů a lišily se podle investující společnosti. Některé firmy uvádějí jako důležitý důvod pro volbu destinace to, že vláda vytvořila vhodné investiční prostředí. Ulehčila podnikání tím, že ustanovila bezcelní dovoz některých výrobků (hardwaru), zrušila daně z příjmu, zavedla satelitní zařízení, osvobodila firmy od cel a zdlouhavých exportních procedur. Pro příchod firem mohl být rozhodující i úspěch první průkopnické zahraniční firmy Texas Instruments.</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V Béngalúru se nachází řada vědeckých institutů, výzkumných středisek a je sídlem univerzit. Z důvodu kvalitního vzdělávacího a výzkumného prostředí, které zde bylo vytvořeno, se vláda v 50. a 60. letech rozhodla směřovat do Béngalúru svou podporu státního průmyslu, především telekomunikačního a obranného průmyslu. Toto umožnilo koncentraci vysoce kvalifikovaných technologických pracovníků ve městě. Státní průmysl, výzkum a vzdělání se stali důvodem pro výběr Béngalúru jako centra outsourcingu.</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Ke koncentraci vysoce kvalifikované síly a vytvoření softwarového seskupení ve městě přispěl proces, který se odehrával v 60. a 70. letech. Tento proces se nazývá „odliv mozků“. Docházelo k odchodu kvalifikovaných pracovníků především do USA. Hlavním důvodem odchodu bylo velké množství kvalifikovaných pracovníků, a proto mnoho z nich nenašlo uplatnění ve městě. Na konci 80. let se tato vysoce kvalifikovaná pracovní síla vracela zpět do Indie a často se angažovala v soukromém podnikání. Byla podporována vládou a motivována zlepšením pracovních příležitostí vlivem pozvolné ekonomické liberalizace a příchodem zahraničních společností. Využili svých znalosti zdejšího prostředí pro vytvoření podnikatelských sítí. Výhodou byly také zkušenosti získané v USA, které využívali při zaučování domácích indických kvalifikovaných pracovníků.</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 Pro umístění podniků v Béngalúru hrála hlavní roli také kombinace kvalifikované a hlavně levné pracovní síly z hlediska mezinárodních standardů. Výše platů softwarových pracovníků v Béngalúru je daleko nižší než v USA nebo Británii nebo v jiných rozvinutých zemích.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Dalším faktorem bylo příznivé sociální, kulturní a fyzické prostředí, které podporuje vyšší kvalitu života.  O Béngalúru se říká, že je nejvíce poangličtělým městem Indie, protože si udrželo svoji dřívější koloniální architekturu a prostředí. Přitáhlo celou řadu lidí z celé Indie a i světa a vytvořilo kosmopolitní město. Nachází se zde celá řada zábavních podniků, anglické hospody, restaurace a golfová hřiště - to všechno přitahuje mladé softwarové inženýry. Prostředí mladých lidí umožňuje také rychlé šíření inovací. Je zde velice příznivé klima po celý rok a velké množství parků a zeleně na rozdíl od ostatních měst Indie. Béngalúru bylo před příchodem průmyslu přezdíváno „zahradní město“.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953812">
      <w:pPr>
        <w:pStyle w:val="Nadpis1"/>
        <w:ind w:firstLine="0"/>
        <w:jc w:val="left"/>
      </w:pPr>
      <w:bookmarkStart w:id="36" w:name="_Toc301255445"/>
      <w:bookmarkStart w:id="37" w:name="_Toc331023970"/>
      <w:r w:rsidRPr="00DF128A">
        <w:t>Závěr</w:t>
      </w:r>
      <w:bookmarkEnd w:id="36"/>
      <w:bookmarkEnd w:id="37"/>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Cílem této seminární práce bylo nalézt hlavní důvody, proč právě v indickém městě Béngalúru vzniklo moderní centrum outsourcingu. Bylo vyvozeno hned několik závěrů. Za nejdůležitější považuji koncentraci vysoce kvalifikované a levné pracovní síly. Tento faktor, ale můžeme najít i v jiných indických městech např. Dillí, Madrás aj. Proto jistě nemenší úlohu ve výběru destinace mělo příjemné sociální a kulturní prostředí města. Přicházející firmy podle mého názoru volí takové prostředí, které je atraktivní jak pro zahraniční tak i pro lokální zaměstnance.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Béngalúru se zařadilo mezi nejrychleji rostoucí a kvetoucí města Asie. Tento úspěch </w:t>
      </w:r>
      <w:r w:rsidRPr="00DF128A">
        <w:rPr>
          <w:rFonts w:ascii="Times New Roman" w:hAnsi="Times New Roman" w:cs="Times New Roman"/>
          <w:sz w:val="24"/>
          <w:szCs w:val="24"/>
        </w:rPr>
        <w:lastRenderedPageBreak/>
        <w:t>můžeme připsat především outsourcingu a s ním přicházejícím mezinárodním podnikům a početné pracovní síle. Negativním přínosem tohoto růstu se stává přeplněnost města, neustálé dopravní zácpy, nedostačující infrastruktura, znečištěné prostředí a častý nedostatek vody nebo elektřiny. Otázkou zůstává, jak dlouho si toto centrum udrží svoji pozici investičního ráje?</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B038A1">
      <w:pPr>
        <w:pStyle w:val="Nadpis1"/>
      </w:pPr>
      <w:bookmarkStart w:id="38" w:name="_Toc301255446"/>
      <w:bookmarkStart w:id="39" w:name="_Toc331023971"/>
      <w:r w:rsidRPr="00DF128A">
        <w:t>LITERATUR</w:t>
      </w:r>
      <w:r w:rsidR="00F81FFE">
        <w:t>A A ZDROJE</w:t>
      </w:r>
      <w:bookmarkEnd w:id="38"/>
      <w:bookmarkEnd w:id="39"/>
    </w:p>
    <w:p w:rsidR="00ED06B9" w:rsidRPr="0012130E" w:rsidRDefault="00DF128A" w:rsidP="0082383D">
      <w:pPr>
        <w:widowControl w:val="0"/>
        <w:spacing w:after="120" w:line="276" w:lineRule="auto"/>
        <w:jc w:val="both"/>
        <w:rPr>
          <w:rFonts w:ascii="Times New Roman" w:hAnsi="Times New Roman" w:cs="Times New Roman"/>
          <w:iCs/>
          <w:sz w:val="20"/>
          <w:szCs w:val="20"/>
        </w:rPr>
      </w:pPr>
      <w:r w:rsidRPr="0012130E">
        <w:rPr>
          <w:rFonts w:ascii="Times New Roman" w:hAnsi="Times New Roman" w:cs="Times New Roman"/>
          <w:iCs/>
          <w:sz w:val="20"/>
          <w:szCs w:val="20"/>
        </w:rPr>
        <w:t>B</w:t>
      </w:r>
      <w:r w:rsidR="005658B9" w:rsidRPr="0012130E">
        <w:rPr>
          <w:rFonts w:ascii="Times New Roman" w:hAnsi="Times New Roman" w:cs="Times New Roman"/>
          <w:iCs/>
          <w:sz w:val="20"/>
          <w:szCs w:val="20"/>
        </w:rPr>
        <w:t>radshaw</w:t>
      </w:r>
      <w:r w:rsidRPr="0012130E">
        <w:rPr>
          <w:rFonts w:ascii="Times New Roman" w:hAnsi="Times New Roman" w:cs="Times New Roman"/>
          <w:iCs/>
          <w:sz w:val="20"/>
          <w:szCs w:val="20"/>
        </w:rPr>
        <w:t>, M.</w:t>
      </w:r>
      <w:r w:rsidR="005658B9" w:rsidRPr="0012130E">
        <w:rPr>
          <w:rFonts w:ascii="Times New Roman" w:hAnsi="Times New Roman" w:cs="Times New Roman"/>
          <w:iCs/>
          <w:sz w:val="20"/>
          <w:szCs w:val="20"/>
        </w:rPr>
        <w:t xml:space="preserve"> (1997):</w:t>
      </w:r>
      <w:r w:rsidRPr="0012130E">
        <w:rPr>
          <w:rFonts w:ascii="Times New Roman" w:hAnsi="Times New Roman" w:cs="Times New Roman"/>
          <w:iCs/>
          <w:sz w:val="20"/>
          <w:szCs w:val="20"/>
        </w:rPr>
        <w:t xml:space="preserve"> </w:t>
      </w:r>
      <w:r w:rsidRPr="0012130E">
        <w:rPr>
          <w:rFonts w:ascii="Times New Roman" w:hAnsi="Times New Roman" w:cs="Times New Roman"/>
          <w:i/>
          <w:iCs/>
          <w:sz w:val="20"/>
          <w:szCs w:val="20"/>
        </w:rPr>
        <w:t>A world regional geography : the new global order.</w:t>
      </w:r>
      <w:r w:rsidRPr="0012130E">
        <w:rPr>
          <w:rFonts w:ascii="Times New Roman" w:hAnsi="Times New Roman" w:cs="Times New Roman"/>
          <w:iCs/>
          <w:sz w:val="20"/>
          <w:szCs w:val="20"/>
        </w:rPr>
        <w:t xml:space="preserve"> Boston: </w:t>
      </w:r>
      <w:hyperlink r:id="rId34" w:history="1">
        <w:r w:rsidRPr="0012130E">
          <w:rPr>
            <w:rFonts w:ascii="Times New Roman" w:hAnsi="Times New Roman" w:cs="Times New Roman"/>
            <w:iCs/>
            <w:sz w:val="20"/>
            <w:szCs w:val="20"/>
          </w:rPr>
          <w:t>McGraw-Hill</w:t>
        </w:r>
      </w:hyperlink>
      <w:r w:rsidRPr="0012130E">
        <w:rPr>
          <w:rFonts w:ascii="Times New Roman" w:hAnsi="Times New Roman" w:cs="Times New Roman"/>
          <w:iCs/>
          <w:sz w:val="20"/>
          <w:szCs w:val="20"/>
        </w:rPr>
        <w:t xml:space="preserve">. </w:t>
      </w:r>
    </w:p>
    <w:p w:rsidR="00ED06B9" w:rsidRPr="0012130E" w:rsidRDefault="00DF128A" w:rsidP="0082383D">
      <w:pPr>
        <w:widowControl w:val="0"/>
        <w:spacing w:after="120" w:line="276" w:lineRule="auto"/>
        <w:jc w:val="both"/>
        <w:rPr>
          <w:rFonts w:ascii="Times New Roman" w:hAnsi="Times New Roman" w:cs="Times New Roman"/>
          <w:iCs/>
          <w:sz w:val="20"/>
          <w:szCs w:val="20"/>
        </w:rPr>
      </w:pPr>
      <w:r w:rsidRPr="0012130E">
        <w:rPr>
          <w:rFonts w:ascii="Times New Roman" w:hAnsi="Times New Roman" w:cs="Times New Roman"/>
          <w:iCs/>
          <w:sz w:val="20"/>
          <w:szCs w:val="20"/>
        </w:rPr>
        <w:t>B</w:t>
      </w:r>
      <w:r w:rsidR="00ED06B9" w:rsidRPr="0012130E">
        <w:rPr>
          <w:rFonts w:ascii="Times New Roman" w:hAnsi="Times New Roman" w:cs="Times New Roman"/>
          <w:iCs/>
          <w:sz w:val="20"/>
          <w:szCs w:val="20"/>
        </w:rPr>
        <w:t>ruckner</w:t>
      </w:r>
      <w:r w:rsidRPr="0012130E">
        <w:rPr>
          <w:rFonts w:ascii="Times New Roman" w:hAnsi="Times New Roman" w:cs="Times New Roman"/>
          <w:iCs/>
          <w:sz w:val="20"/>
          <w:szCs w:val="20"/>
        </w:rPr>
        <w:t>, T</w:t>
      </w:r>
      <w:r w:rsidR="00ED06B9" w:rsidRPr="0012130E">
        <w:rPr>
          <w:rFonts w:ascii="Times New Roman" w:hAnsi="Times New Roman" w:cs="Times New Roman"/>
          <w:iCs/>
          <w:sz w:val="20"/>
          <w:szCs w:val="20"/>
        </w:rPr>
        <w:t>.</w:t>
      </w:r>
      <w:r w:rsidRPr="0012130E">
        <w:rPr>
          <w:rFonts w:ascii="Times New Roman" w:hAnsi="Times New Roman" w:cs="Times New Roman"/>
          <w:iCs/>
          <w:sz w:val="20"/>
          <w:szCs w:val="20"/>
        </w:rPr>
        <w:t xml:space="preserve"> </w:t>
      </w:r>
      <w:r w:rsidR="00ED06B9" w:rsidRPr="0012130E">
        <w:rPr>
          <w:rFonts w:ascii="Times New Roman" w:hAnsi="Times New Roman" w:cs="Times New Roman"/>
          <w:iCs/>
          <w:sz w:val="20"/>
          <w:szCs w:val="20"/>
        </w:rPr>
        <w:t xml:space="preserve">- </w:t>
      </w:r>
      <w:r w:rsidRPr="0012130E">
        <w:rPr>
          <w:rFonts w:ascii="Times New Roman" w:hAnsi="Times New Roman" w:cs="Times New Roman"/>
          <w:iCs/>
          <w:sz w:val="20"/>
          <w:szCs w:val="20"/>
        </w:rPr>
        <w:t>V</w:t>
      </w:r>
      <w:r w:rsidR="00ED06B9" w:rsidRPr="0012130E">
        <w:rPr>
          <w:rFonts w:ascii="Times New Roman" w:hAnsi="Times New Roman" w:cs="Times New Roman"/>
          <w:iCs/>
          <w:sz w:val="20"/>
          <w:szCs w:val="20"/>
        </w:rPr>
        <w:t>oříšek</w:t>
      </w:r>
      <w:r w:rsidRPr="0012130E">
        <w:rPr>
          <w:rFonts w:ascii="Times New Roman" w:hAnsi="Times New Roman" w:cs="Times New Roman"/>
          <w:iCs/>
          <w:sz w:val="20"/>
          <w:szCs w:val="20"/>
        </w:rPr>
        <w:t>, J.</w:t>
      </w:r>
      <w:r w:rsidR="00ED06B9" w:rsidRPr="0012130E">
        <w:rPr>
          <w:rFonts w:ascii="Times New Roman" w:hAnsi="Times New Roman" w:cs="Times New Roman"/>
          <w:iCs/>
          <w:sz w:val="20"/>
          <w:szCs w:val="20"/>
        </w:rPr>
        <w:t xml:space="preserve"> (1998):</w:t>
      </w:r>
      <w:r w:rsidRPr="0012130E">
        <w:rPr>
          <w:rFonts w:ascii="Times New Roman" w:hAnsi="Times New Roman" w:cs="Times New Roman"/>
          <w:iCs/>
          <w:sz w:val="20"/>
          <w:szCs w:val="20"/>
        </w:rPr>
        <w:t xml:space="preserve"> </w:t>
      </w:r>
      <w:r w:rsidRPr="0012130E">
        <w:rPr>
          <w:rFonts w:ascii="Times New Roman" w:hAnsi="Times New Roman" w:cs="Times New Roman"/>
          <w:i/>
          <w:iCs/>
          <w:sz w:val="20"/>
          <w:szCs w:val="20"/>
        </w:rPr>
        <w:t>Outsourcing informačních systémů</w:t>
      </w:r>
      <w:r w:rsidR="00ED06B9" w:rsidRPr="0012130E">
        <w:rPr>
          <w:rFonts w:ascii="Times New Roman" w:hAnsi="Times New Roman" w:cs="Times New Roman"/>
          <w:iCs/>
          <w:sz w:val="20"/>
          <w:szCs w:val="20"/>
        </w:rPr>
        <w:t>. Praha : Ekopress.</w:t>
      </w:r>
    </w:p>
    <w:p w:rsidR="00DF128A" w:rsidRPr="0012130E" w:rsidRDefault="00DF128A" w:rsidP="0082383D">
      <w:pPr>
        <w:widowControl w:val="0"/>
        <w:spacing w:after="120" w:line="276" w:lineRule="auto"/>
        <w:jc w:val="both"/>
        <w:rPr>
          <w:rFonts w:ascii="Times New Roman" w:hAnsi="Times New Roman" w:cs="Times New Roman"/>
          <w:iCs/>
          <w:sz w:val="20"/>
          <w:szCs w:val="20"/>
        </w:rPr>
      </w:pPr>
      <w:r w:rsidRPr="0012130E">
        <w:rPr>
          <w:rFonts w:ascii="Times New Roman" w:hAnsi="Times New Roman" w:cs="Times New Roman"/>
          <w:iCs/>
          <w:sz w:val="20"/>
          <w:szCs w:val="20"/>
        </w:rPr>
        <w:t>F</w:t>
      </w:r>
      <w:r w:rsidR="00ED06B9" w:rsidRPr="0012130E">
        <w:rPr>
          <w:rFonts w:ascii="Times New Roman" w:hAnsi="Times New Roman" w:cs="Times New Roman"/>
          <w:iCs/>
          <w:sz w:val="20"/>
          <w:szCs w:val="20"/>
        </w:rPr>
        <w:t>anta</w:t>
      </w:r>
      <w:r w:rsidRPr="0012130E">
        <w:rPr>
          <w:rFonts w:ascii="Times New Roman" w:hAnsi="Times New Roman" w:cs="Times New Roman"/>
          <w:iCs/>
          <w:sz w:val="20"/>
          <w:szCs w:val="20"/>
        </w:rPr>
        <w:t>, P.</w:t>
      </w:r>
      <w:r w:rsidR="00ED06B9" w:rsidRPr="0012130E">
        <w:rPr>
          <w:rFonts w:ascii="Times New Roman" w:hAnsi="Times New Roman" w:cs="Times New Roman"/>
          <w:iCs/>
          <w:sz w:val="20"/>
          <w:szCs w:val="20"/>
        </w:rPr>
        <w:t xml:space="preserve"> (2004):</w:t>
      </w:r>
      <w:r w:rsidRPr="0012130E">
        <w:rPr>
          <w:rFonts w:ascii="Times New Roman" w:hAnsi="Times New Roman" w:cs="Times New Roman"/>
          <w:iCs/>
          <w:sz w:val="20"/>
          <w:szCs w:val="20"/>
        </w:rPr>
        <w:t xml:space="preserve"> </w:t>
      </w:r>
      <w:r w:rsidRPr="0012130E">
        <w:rPr>
          <w:rFonts w:ascii="Times New Roman" w:hAnsi="Times New Roman" w:cs="Times New Roman"/>
          <w:i/>
          <w:iCs/>
          <w:sz w:val="20"/>
          <w:szCs w:val="20"/>
        </w:rPr>
        <w:t>Outsourcing. Autoreferát k doktorské disertační práci</w:t>
      </w:r>
      <w:r w:rsidR="00ED06B9" w:rsidRPr="0012130E">
        <w:rPr>
          <w:rFonts w:ascii="Times New Roman" w:hAnsi="Times New Roman" w:cs="Times New Roman"/>
          <w:i/>
          <w:iCs/>
          <w:sz w:val="20"/>
          <w:szCs w:val="20"/>
        </w:rPr>
        <w:t>.</w:t>
      </w:r>
      <w:r w:rsidRPr="0012130E">
        <w:rPr>
          <w:rFonts w:ascii="Times New Roman" w:hAnsi="Times New Roman" w:cs="Times New Roman"/>
          <w:iCs/>
          <w:sz w:val="20"/>
          <w:szCs w:val="20"/>
        </w:rPr>
        <w:t xml:space="preserve"> </w:t>
      </w:r>
      <w:r w:rsidR="00ED06B9" w:rsidRPr="0012130E">
        <w:rPr>
          <w:rFonts w:ascii="Times New Roman" w:hAnsi="Times New Roman" w:cs="Times New Roman"/>
          <w:iCs/>
          <w:sz w:val="20"/>
          <w:szCs w:val="20"/>
        </w:rPr>
        <w:t>Praha: Vysoká škola ekonomická</w:t>
      </w:r>
      <w:r w:rsidRPr="0012130E">
        <w:rPr>
          <w:rFonts w:ascii="Times New Roman" w:hAnsi="Times New Roman" w:cs="Times New Roman"/>
          <w:iCs/>
          <w:sz w:val="20"/>
          <w:szCs w:val="20"/>
        </w:rPr>
        <w:t xml:space="preserve">. </w:t>
      </w:r>
    </w:p>
    <w:p w:rsidR="00DF128A" w:rsidRPr="0012130E" w:rsidRDefault="00DF128A" w:rsidP="0082383D">
      <w:pPr>
        <w:widowControl w:val="0"/>
        <w:spacing w:after="120" w:line="276" w:lineRule="auto"/>
        <w:jc w:val="both"/>
        <w:rPr>
          <w:rFonts w:ascii="Times New Roman" w:hAnsi="Times New Roman" w:cs="Times New Roman"/>
          <w:iCs/>
          <w:sz w:val="20"/>
          <w:szCs w:val="20"/>
        </w:rPr>
      </w:pPr>
      <w:r w:rsidRPr="0012130E">
        <w:rPr>
          <w:rFonts w:ascii="Times New Roman" w:hAnsi="Times New Roman" w:cs="Times New Roman"/>
          <w:iCs/>
          <w:sz w:val="20"/>
          <w:szCs w:val="20"/>
        </w:rPr>
        <w:t>F</w:t>
      </w:r>
      <w:r w:rsidR="00ED06B9" w:rsidRPr="0012130E">
        <w:rPr>
          <w:rFonts w:ascii="Times New Roman" w:hAnsi="Times New Roman" w:cs="Times New Roman"/>
          <w:iCs/>
          <w:sz w:val="20"/>
          <w:szCs w:val="20"/>
        </w:rPr>
        <w:t>ialová</w:t>
      </w:r>
      <w:r w:rsidRPr="0012130E">
        <w:rPr>
          <w:rFonts w:ascii="Times New Roman" w:hAnsi="Times New Roman" w:cs="Times New Roman"/>
          <w:iCs/>
          <w:sz w:val="20"/>
          <w:szCs w:val="20"/>
        </w:rPr>
        <w:t>, H</w:t>
      </w:r>
      <w:r w:rsidR="00ED06B9" w:rsidRPr="0012130E">
        <w:rPr>
          <w:rFonts w:ascii="Times New Roman" w:hAnsi="Times New Roman" w:cs="Times New Roman"/>
          <w:iCs/>
          <w:sz w:val="20"/>
          <w:szCs w:val="20"/>
        </w:rPr>
        <w:t>.</w:t>
      </w:r>
      <w:r w:rsidRPr="0012130E">
        <w:rPr>
          <w:rFonts w:ascii="Times New Roman" w:hAnsi="Times New Roman" w:cs="Times New Roman"/>
          <w:iCs/>
          <w:sz w:val="20"/>
          <w:szCs w:val="20"/>
        </w:rPr>
        <w:t xml:space="preserve"> - F</w:t>
      </w:r>
      <w:r w:rsidR="00ED06B9" w:rsidRPr="0012130E">
        <w:rPr>
          <w:rFonts w:ascii="Times New Roman" w:hAnsi="Times New Roman" w:cs="Times New Roman"/>
          <w:iCs/>
          <w:sz w:val="20"/>
          <w:szCs w:val="20"/>
        </w:rPr>
        <w:t>iala</w:t>
      </w:r>
      <w:r w:rsidRPr="0012130E">
        <w:rPr>
          <w:rFonts w:ascii="Times New Roman" w:hAnsi="Times New Roman" w:cs="Times New Roman"/>
          <w:iCs/>
          <w:sz w:val="20"/>
          <w:szCs w:val="20"/>
        </w:rPr>
        <w:t>, J.</w:t>
      </w:r>
      <w:r w:rsidR="00ED06B9" w:rsidRPr="0012130E">
        <w:rPr>
          <w:rFonts w:ascii="Times New Roman" w:hAnsi="Times New Roman" w:cs="Times New Roman"/>
          <w:iCs/>
          <w:sz w:val="20"/>
          <w:szCs w:val="20"/>
        </w:rPr>
        <w:t xml:space="preserve"> (2006):</w:t>
      </w:r>
      <w:r w:rsidRPr="0012130E">
        <w:rPr>
          <w:rFonts w:ascii="Times New Roman" w:hAnsi="Times New Roman" w:cs="Times New Roman"/>
          <w:iCs/>
          <w:sz w:val="20"/>
          <w:szCs w:val="20"/>
        </w:rPr>
        <w:t xml:space="preserve"> </w:t>
      </w:r>
      <w:r w:rsidRPr="0012130E">
        <w:rPr>
          <w:rFonts w:ascii="Times New Roman" w:hAnsi="Times New Roman" w:cs="Times New Roman"/>
          <w:i/>
          <w:iCs/>
          <w:sz w:val="20"/>
          <w:szCs w:val="20"/>
        </w:rPr>
        <w:t>Malý ekonomický slovník s výkladem pojmů v češtině</w:t>
      </w:r>
      <w:r w:rsidR="00ED06B9" w:rsidRPr="0012130E">
        <w:rPr>
          <w:rFonts w:ascii="Times New Roman" w:hAnsi="Times New Roman" w:cs="Times New Roman"/>
          <w:i/>
          <w:iCs/>
          <w:sz w:val="20"/>
          <w:szCs w:val="20"/>
        </w:rPr>
        <w:t xml:space="preserve"> a v angličtině</w:t>
      </w:r>
      <w:r w:rsidR="00ED06B9" w:rsidRPr="0012130E">
        <w:rPr>
          <w:rFonts w:ascii="Times New Roman" w:hAnsi="Times New Roman" w:cs="Times New Roman"/>
          <w:iCs/>
          <w:sz w:val="20"/>
          <w:szCs w:val="20"/>
        </w:rPr>
        <w:t>. Praha: A plus</w:t>
      </w:r>
      <w:r w:rsidRPr="0012130E">
        <w:rPr>
          <w:rFonts w:ascii="Times New Roman" w:hAnsi="Times New Roman" w:cs="Times New Roman"/>
          <w:iCs/>
          <w:sz w:val="20"/>
          <w:szCs w:val="20"/>
        </w:rPr>
        <w:t xml:space="preserve">.   </w:t>
      </w:r>
    </w:p>
    <w:p w:rsidR="00DF128A" w:rsidRPr="0012130E" w:rsidRDefault="00DF128A" w:rsidP="0082383D">
      <w:pPr>
        <w:widowControl w:val="0"/>
        <w:spacing w:after="120" w:line="276" w:lineRule="auto"/>
        <w:jc w:val="both"/>
        <w:rPr>
          <w:rFonts w:ascii="Times New Roman" w:hAnsi="Times New Roman" w:cs="Times New Roman"/>
          <w:iCs/>
          <w:sz w:val="20"/>
          <w:szCs w:val="20"/>
        </w:rPr>
      </w:pPr>
      <w:r w:rsidRPr="0012130E">
        <w:rPr>
          <w:rFonts w:ascii="Times New Roman" w:hAnsi="Times New Roman" w:cs="Times New Roman"/>
          <w:iCs/>
          <w:sz w:val="20"/>
          <w:szCs w:val="20"/>
        </w:rPr>
        <w:t>F</w:t>
      </w:r>
      <w:r w:rsidR="00ED06B9" w:rsidRPr="0012130E">
        <w:rPr>
          <w:rFonts w:ascii="Times New Roman" w:hAnsi="Times New Roman" w:cs="Times New Roman"/>
          <w:iCs/>
          <w:sz w:val="20"/>
          <w:szCs w:val="20"/>
        </w:rPr>
        <w:t>riedman</w:t>
      </w:r>
      <w:r w:rsidRPr="0012130E">
        <w:rPr>
          <w:rFonts w:ascii="Times New Roman" w:hAnsi="Times New Roman" w:cs="Times New Roman"/>
          <w:iCs/>
          <w:sz w:val="20"/>
          <w:szCs w:val="20"/>
        </w:rPr>
        <w:t>, T</w:t>
      </w:r>
      <w:r w:rsidR="00ED06B9" w:rsidRPr="0012130E">
        <w:rPr>
          <w:rFonts w:ascii="Times New Roman" w:hAnsi="Times New Roman" w:cs="Times New Roman"/>
          <w:iCs/>
          <w:sz w:val="20"/>
          <w:szCs w:val="20"/>
        </w:rPr>
        <w:t>.</w:t>
      </w:r>
      <w:r w:rsidRPr="0012130E">
        <w:rPr>
          <w:rFonts w:ascii="Times New Roman" w:hAnsi="Times New Roman" w:cs="Times New Roman"/>
          <w:iCs/>
          <w:sz w:val="20"/>
          <w:szCs w:val="20"/>
        </w:rPr>
        <w:t xml:space="preserve"> L.</w:t>
      </w:r>
      <w:r w:rsidR="00ED06B9" w:rsidRPr="0012130E">
        <w:rPr>
          <w:rFonts w:ascii="Times New Roman" w:hAnsi="Times New Roman" w:cs="Times New Roman"/>
          <w:iCs/>
          <w:sz w:val="20"/>
          <w:szCs w:val="20"/>
        </w:rPr>
        <w:t xml:space="preserve"> (2006):</w:t>
      </w:r>
      <w:r w:rsidRPr="0012130E">
        <w:rPr>
          <w:rFonts w:ascii="Times New Roman" w:hAnsi="Times New Roman" w:cs="Times New Roman"/>
          <w:iCs/>
          <w:sz w:val="20"/>
          <w:szCs w:val="20"/>
        </w:rPr>
        <w:t xml:space="preserve"> </w:t>
      </w:r>
      <w:r w:rsidRPr="0012130E">
        <w:rPr>
          <w:rFonts w:ascii="Times New Roman" w:hAnsi="Times New Roman" w:cs="Times New Roman"/>
          <w:i/>
          <w:iCs/>
          <w:sz w:val="20"/>
          <w:szCs w:val="20"/>
        </w:rPr>
        <w:t>The world is flat: a brief history of the twenty-first century</w:t>
      </w:r>
      <w:r w:rsidRPr="0012130E">
        <w:rPr>
          <w:rFonts w:ascii="Times New Roman" w:hAnsi="Times New Roman" w:cs="Times New Roman"/>
          <w:iCs/>
          <w:sz w:val="20"/>
          <w:szCs w:val="20"/>
        </w:rPr>
        <w:t>. New York: Farrar, Straus and Giroux.</w:t>
      </w:r>
    </w:p>
    <w:p w:rsidR="00DF128A" w:rsidRPr="0012130E" w:rsidRDefault="00DF128A" w:rsidP="0082383D">
      <w:pPr>
        <w:widowControl w:val="0"/>
        <w:spacing w:after="120" w:line="276" w:lineRule="auto"/>
        <w:jc w:val="both"/>
        <w:rPr>
          <w:rFonts w:ascii="Times New Roman" w:hAnsi="Times New Roman" w:cs="Times New Roman"/>
          <w:iCs/>
          <w:sz w:val="20"/>
          <w:szCs w:val="20"/>
        </w:rPr>
      </w:pPr>
      <w:r w:rsidRPr="0012130E">
        <w:rPr>
          <w:rFonts w:ascii="Times New Roman" w:hAnsi="Times New Roman" w:cs="Times New Roman"/>
          <w:iCs/>
          <w:sz w:val="20"/>
          <w:szCs w:val="20"/>
        </w:rPr>
        <w:t>K</w:t>
      </w:r>
      <w:r w:rsidR="00ED06B9" w:rsidRPr="0012130E">
        <w:rPr>
          <w:rFonts w:ascii="Times New Roman" w:hAnsi="Times New Roman" w:cs="Times New Roman"/>
          <w:iCs/>
          <w:sz w:val="20"/>
          <w:szCs w:val="20"/>
        </w:rPr>
        <w:t>rása</w:t>
      </w:r>
      <w:r w:rsidRPr="0012130E">
        <w:rPr>
          <w:rFonts w:ascii="Times New Roman" w:hAnsi="Times New Roman" w:cs="Times New Roman"/>
          <w:iCs/>
          <w:sz w:val="20"/>
          <w:szCs w:val="20"/>
        </w:rPr>
        <w:t>, M.</w:t>
      </w:r>
      <w:r w:rsidR="00ED06B9" w:rsidRPr="0012130E">
        <w:rPr>
          <w:rFonts w:ascii="Times New Roman" w:hAnsi="Times New Roman" w:cs="Times New Roman"/>
          <w:iCs/>
          <w:sz w:val="20"/>
          <w:szCs w:val="20"/>
        </w:rPr>
        <w:t xml:space="preserve"> (1980):</w:t>
      </w:r>
      <w:r w:rsidRPr="0012130E">
        <w:rPr>
          <w:rFonts w:ascii="Times New Roman" w:hAnsi="Times New Roman" w:cs="Times New Roman"/>
          <w:iCs/>
          <w:sz w:val="20"/>
          <w:szCs w:val="20"/>
        </w:rPr>
        <w:t xml:space="preserve"> </w:t>
      </w:r>
      <w:r w:rsidRPr="0012130E">
        <w:rPr>
          <w:rFonts w:ascii="Times New Roman" w:hAnsi="Times New Roman" w:cs="Times New Roman"/>
          <w:i/>
          <w:iCs/>
          <w:sz w:val="20"/>
          <w:szCs w:val="20"/>
        </w:rPr>
        <w:t>Indický subkontinent:  zeměpisné a historické panoráma</w:t>
      </w:r>
      <w:r w:rsidRPr="0012130E">
        <w:rPr>
          <w:rFonts w:ascii="Times New Roman" w:hAnsi="Times New Roman" w:cs="Times New Roman"/>
          <w:iCs/>
          <w:sz w:val="20"/>
          <w:szCs w:val="20"/>
        </w:rPr>
        <w:t>. Praha: Státní pedagogické nakladatelství</w:t>
      </w:r>
      <w:r w:rsidR="00ED06B9" w:rsidRPr="0012130E">
        <w:rPr>
          <w:rFonts w:ascii="Times New Roman" w:hAnsi="Times New Roman" w:cs="Times New Roman"/>
          <w:iCs/>
          <w:sz w:val="20"/>
          <w:szCs w:val="20"/>
        </w:rPr>
        <w:t>.</w:t>
      </w:r>
      <w:r w:rsidRPr="0012130E">
        <w:rPr>
          <w:rFonts w:ascii="Times New Roman" w:hAnsi="Times New Roman" w:cs="Times New Roman"/>
          <w:iCs/>
          <w:sz w:val="20"/>
          <w:szCs w:val="20"/>
        </w:rPr>
        <w:t xml:space="preserve">  </w:t>
      </w:r>
    </w:p>
    <w:p w:rsidR="00DF128A" w:rsidRPr="0012130E" w:rsidRDefault="00DF128A" w:rsidP="0082383D">
      <w:pPr>
        <w:widowControl w:val="0"/>
        <w:spacing w:after="120" w:line="276" w:lineRule="auto"/>
        <w:jc w:val="both"/>
        <w:rPr>
          <w:rFonts w:ascii="Times New Roman" w:hAnsi="Times New Roman" w:cs="Times New Roman"/>
          <w:iCs/>
          <w:sz w:val="20"/>
          <w:szCs w:val="20"/>
        </w:rPr>
      </w:pPr>
      <w:r w:rsidRPr="0012130E">
        <w:rPr>
          <w:rFonts w:ascii="Times New Roman" w:hAnsi="Times New Roman" w:cs="Times New Roman"/>
          <w:iCs/>
          <w:sz w:val="20"/>
          <w:szCs w:val="20"/>
        </w:rPr>
        <w:t>Balasubramanyam, V. N. – Balasubramanyam A.</w:t>
      </w:r>
      <w:r w:rsidR="00ED06B9" w:rsidRPr="0012130E">
        <w:rPr>
          <w:rFonts w:ascii="Times New Roman" w:hAnsi="Times New Roman" w:cs="Times New Roman"/>
          <w:iCs/>
          <w:sz w:val="20"/>
          <w:szCs w:val="20"/>
        </w:rPr>
        <w:t xml:space="preserve"> (2008):</w:t>
      </w:r>
      <w:r w:rsidRPr="0012130E">
        <w:rPr>
          <w:rFonts w:ascii="Times New Roman" w:hAnsi="Times New Roman" w:cs="Times New Roman"/>
          <w:iCs/>
          <w:sz w:val="20"/>
          <w:szCs w:val="20"/>
        </w:rPr>
        <w:t xml:space="preserve"> </w:t>
      </w:r>
      <w:r w:rsidRPr="0012130E">
        <w:rPr>
          <w:rFonts w:ascii="Times New Roman" w:hAnsi="Times New Roman" w:cs="Times New Roman"/>
          <w:i/>
          <w:iCs/>
          <w:sz w:val="20"/>
          <w:szCs w:val="20"/>
        </w:rPr>
        <w:t>The Software Cluster in Bangalore</w:t>
      </w:r>
      <w:r w:rsidRPr="0012130E">
        <w:rPr>
          <w:rFonts w:ascii="Times New Roman" w:hAnsi="Times New Roman" w:cs="Times New Roman"/>
          <w:iCs/>
          <w:sz w:val="20"/>
          <w:szCs w:val="20"/>
        </w:rPr>
        <w:t xml:space="preserve">. </w:t>
      </w:r>
    </w:p>
    <w:p w:rsidR="00ED06B9" w:rsidRPr="0012130E" w:rsidRDefault="00ED06B9" w:rsidP="0082383D">
      <w:pPr>
        <w:widowControl w:val="0"/>
        <w:spacing w:after="120" w:line="276" w:lineRule="auto"/>
        <w:jc w:val="both"/>
        <w:rPr>
          <w:rFonts w:ascii="Times New Roman" w:hAnsi="Times New Roman" w:cs="Times New Roman"/>
          <w:iCs/>
          <w:sz w:val="20"/>
          <w:szCs w:val="20"/>
        </w:rPr>
      </w:pPr>
    </w:p>
    <w:p w:rsidR="00DF128A" w:rsidRPr="0012130E" w:rsidRDefault="00DF128A" w:rsidP="0082383D">
      <w:pPr>
        <w:widowControl w:val="0"/>
        <w:spacing w:after="120" w:line="276" w:lineRule="auto"/>
        <w:jc w:val="both"/>
        <w:rPr>
          <w:rFonts w:ascii="Times New Roman" w:hAnsi="Times New Roman" w:cs="Times New Roman"/>
          <w:iCs/>
          <w:sz w:val="20"/>
          <w:szCs w:val="20"/>
        </w:rPr>
      </w:pPr>
      <w:r w:rsidRPr="0012130E">
        <w:rPr>
          <w:rFonts w:ascii="Times New Roman" w:hAnsi="Times New Roman" w:cs="Times New Roman"/>
          <w:i/>
          <w:iCs/>
          <w:sz w:val="20"/>
          <w:szCs w:val="20"/>
        </w:rPr>
        <w:t>Census of India 2001</w:t>
      </w:r>
      <w:r w:rsidR="00ED06B9" w:rsidRPr="0012130E">
        <w:rPr>
          <w:rFonts w:ascii="Times New Roman" w:hAnsi="Times New Roman" w:cs="Times New Roman"/>
          <w:iCs/>
          <w:sz w:val="20"/>
          <w:szCs w:val="20"/>
        </w:rPr>
        <w:t xml:space="preserve">, </w:t>
      </w:r>
      <w:r w:rsidRPr="0012130E">
        <w:rPr>
          <w:rFonts w:ascii="Times New Roman" w:hAnsi="Times New Roman" w:cs="Times New Roman"/>
          <w:iCs/>
          <w:sz w:val="20"/>
          <w:szCs w:val="20"/>
        </w:rPr>
        <w:t xml:space="preserve">Office of the Registrar General &amp; Census Commissioner India </w:t>
      </w:r>
      <w:r w:rsidR="0012130E" w:rsidRPr="00DF128A">
        <w:rPr>
          <w:rFonts w:ascii="Times New Roman" w:hAnsi="Times New Roman" w:cs="Times New Roman"/>
          <w:sz w:val="20"/>
          <w:szCs w:val="20"/>
        </w:rPr>
        <w:t>[cit. 2</w:t>
      </w:r>
      <w:r w:rsidR="0012130E">
        <w:rPr>
          <w:rFonts w:ascii="Times New Roman" w:hAnsi="Times New Roman" w:cs="Times New Roman"/>
          <w:sz w:val="20"/>
          <w:szCs w:val="20"/>
        </w:rPr>
        <w:t>0</w:t>
      </w:r>
      <w:r w:rsidR="0012130E" w:rsidRPr="00DF128A">
        <w:rPr>
          <w:rFonts w:ascii="Times New Roman" w:hAnsi="Times New Roman" w:cs="Times New Roman"/>
          <w:sz w:val="20"/>
          <w:szCs w:val="20"/>
        </w:rPr>
        <w:t xml:space="preserve">. </w:t>
      </w:r>
      <w:r w:rsidR="0012130E">
        <w:rPr>
          <w:rFonts w:ascii="Times New Roman" w:hAnsi="Times New Roman" w:cs="Times New Roman"/>
          <w:sz w:val="20"/>
          <w:szCs w:val="20"/>
        </w:rPr>
        <w:t>července</w:t>
      </w:r>
      <w:r w:rsidR="0012130E" w:rsidRPr="00DF128A">
        <w:rPr>
          <w:rFonts w:ascii="Times New Roman" w:hAnsi="Times New Roman" w:cs="Times New Roman"/>
          <w:sz w:val="20"/>
          <w:szCs w:val="20"/>
        </w:rPr>
        <w:t xml:space="preserve"> 201</w:t>
      </w:r>
      <w:r w:rsidR="0012130E">
        <w:rPr>
          <w:rFonts w:ascii="Times New Roman" w:hAnsi="Times New Roman" w:cs="Times New Roman"/>
          <w:sz w:val="20"/>
          <w:szCs w:val="20"/>
        </w:rPr>
        <w:t>1</w:t>
      </w:r>
      <w:r w:rsidR="0012130E" w:rsidRPr="00DF128A">
        <w:rPr>
          <w:rFonts w:ascii="Times New Roman" w:hAnsi="Times New Roman" w:cs="Times New Roman"/>
          <w:sz w:val="20"/>
          <w:szCs w:val="20"/>
        </w:rPr>
        <w:t>]. Dostupn</w:t>
      </w:r>
      <w:r w:rsidR="0012130E">
        <w:rPr>
          <w:rFonts w:ascii="Times New Roman" w:hAnsi="Times New Roman" w:cs="Times New Roman"/>
          <w:sz w:val="20"/>
          <w:szCs w:val="20"/>
        </w:rPr>
        <w:t>ý online</w:t>
      </w:r>
      <w:r w:rsidR="0012130E" w:rsidRPr="00DF128A">
        <w:rPr>
          <w:rFonts w:ascii="Times New Roman" w:hAnsi="Times New Roman" w:cs="Times New Roman"/>
          <w:sz w:val="20"/>
          <w:szCs w:val="20"/>
        </w:rPr>
        <w:t xml:space="preserve"> </w:t>
      </w:r>
      <w:r w:rsidR="0012130E" w:rsidRPr="00A207FC">
        <w:rPr>
          <w:rFonts w:ascii="Times New Roman" w:hAnsi="Times New Roman" w:cs="Times New Roman"/>
          <w:iCs/>
          <w:sz w:val="20"/>
          <w:szCs w:val="20"/>
        </w:rPr>
        <w:t>&lt;</w:t>
      </w:r>
      <w:r w:rsidRPr="0012130E">
        <w:rPr>
          <w:rFonts w:ascii="Times New Roman" w:hAnsi="Times New Roman" w:cs="Times New Roman"/>
          <w:iCs/>
          <w:sz w:val="20"/>
          <w:szCs w:val="20"/>
        </w:rPr>
        <w:t>http://www.censusindia.gov.in/&gt;.</w:t>
      </w:r>
    </w:p>
    <w:p w:rsidR="00DF128A" w:rsidRPr="0012130E" w:rsidRDefault="00DF128A" w:rsidP="0082383D">
      <w:pPr>
        <w:widowControl w:val="0"/>
        <w:spacing w:after="120" w:line="276" w:lineRule="auto"/>
        <w:jc w:val="both"/>
        <w:rPr>
          <w:rFonts w:ascii="Times New Roman" w:hAnsi="Times New Roman" w:cs="Times New Roman"/>
          <w:iCs/>
          <w:sz w:val="20"/>
          <w:szCs w:val="20"/>
        </w:rPr>
      </w:pPr>
      <w:r w:rsidRPr="0012130E">
        <w:rPr>
          <w:rFonts w:ascii="Times New Roman" w:hAnsi="Times New Roman" w:cs="Times New Roman"/>
          <w:i/>
          <w:iCs/>
          <w:sz w:val="20"/>
          <w:szCs w:val="20"/>
        </w:rPr>
        <w:t>Linking up with the global economy: A case study of the Bangalore software industry</w:t>
      </w:r>
      <w:r w:rsidR="00ED06B9" w:rsidRPr="0012130E">
        <w:rPr>
          <w:rFonts w:ascii="Times New Roman" w:hAnsi="Times New Roman" w:cs="Times New Roman"/>
          <w:iCs/>
          <w:sz w:val="20"/>
          <w:szCs w:val="20"/>
        </w:rPr>
        <w:t>,</w:t>
      </w:r>
      <w:r w:rsidRPr="0012130E">
        <w:rPr>
          <w:rFonts w:ascii="Times New Roman" w:hAnsi="Times New Roman" w:cs="Times New Roman"/>
          <w:iCs/>
          <w:sz w:val="20"/>
          <w:szCs w:val="20"/>
        </w:rPr>
        <w:t xml:space="preserve"> </w:t>
      </w:r>
      <w:r w:rsidR="00ED06B9" w:rsidRPr="0012130E">
        <w:rPr>
          <w:rFonts w:ascii="Times New Roman" w:hAnsi="Times New Roman" w:cs="Times New Roman"/>
          <w:iCs/>
          <w:sz w:val="20"/>
          <w:szCs w:val="20"/>
        </w:rPr>
        <w:t xml:space="preserve">Lateef, Asma, 1997 </w:t>
      </w:r>
      <w:r w:rsidR="0012130E" w:rsidRPr="00DF128A">
        <w:rPr>
          <w:rFonts w:ascii="Times New Roman" w:hAnsi="Times New Roman" w:cs="Times New Roman"/>
          <w:sz w:val="20"/>
          <w:szCs w:val="20"/>
        </w:rPr>
        <w:t>[cit. 2</w:t>
      </w:r>
      <w:r w:rsidR="0012130E">
        <w:rPr>
          <w:rFonts w:ascii="Times New Roman" w:hAnsi="Times New Roman" w:cs="Times New Roman"/>
          <w:sz w:val="20"/>
          <w:szCs w:val="20"/>
        </w:rPr>
        <w:t>0</w:t>
      </w:r>
      <w:r w:rsidR="0012130E" w:rsidRPr="00DF128A">
        <w:rPr>
          <w:rFonts w:ascii="Times New Roman" w:hAnsi="Times New Roman" w:cs="Times New Roman"/>
          <w:sz w:val="20"/>
          <w:szCs w:val="20"/>
        </w:rPr>
        <w:t xml:space="preserve">. </w:t>
      </w:r>
      <w:r w:rsidR="0012130E">
        <w:rPr>
          <w:rFonts w:ascii="Times New Roman" w:hAnsi="Times New Roman" w:cs="Times New Roman"/>
          <w:sz w:val="20"/>
          <w:szCs w:val="20"/>
        </w:rPr>
        <w:t>července</w:t>
      </w:r>
      <w:r w:rsidR="0012130E" w:rsidRPr="00DF128A">
        <w:rPr>
          <w:rFonts w:ascii="Times New Roman" w:hAnsi="Times New Roman" w:cs="Times New Roman"/>
          <w:sz w:val="20"/>
          <w:szCs w:val="20"/>
        </w:rPr>
        <w:t xml:space="preserve"> 201</w:t>
      </w:r>
      <w:r w:rsidR="0012130E">
        <w:rPr>
          <w:rFonts w:ascii="Times New Roman" w:hAnsi="Times New Roman" w:cs="Times New Roman"/>
          <w:sz w:val="20"/>
          <w:szCs w:val="20"/>
        </w:rPr>
        <w:t>1</w:t>
      </w:r>
      <w:r w:rsidR="0012130E" w:rsidRPr="00DF128A">
        <w:rPr>
          <w:rFonts w:ascii="Times New Roman" w:hAnsi="Times New Roman" w:cs="Times New Roman"/>
          <w:sz w:val="20"/>
          <w:szCs w:val="20"/>
        </w:rPr>
        <w:t>]. Dostupn</w:t>
      </w:r>
      <w:r w:rsidR="0012130E">
        <w:rPr>
          <w:rFonts w:ascii="Times New Roman" w:hAnsi="Times New Roman" w:cs="Times New Roman"/>
          <w:sz w:val="20"/>
          <w:szCs w:val="20"/>
        </w:rPr>
        <w:t>ý online</w:t>
      </w:r>
      <w:r w:rsidR="0012130E" w:rsidRPr="00DF128A">
        <w:rPr>
          <w:rFonts w:ascii="Times New Roman" w:hAnsi="Times New Roman" w:cs="Times New Roman"/>
          <w:sz w:val="20"/>
          <w:szCs w:val="20"/>
        </w:rPr>
        <w:t xml:space="preserve"> </w:t>
      </w:r>
      <w:r w:rsidRPr="0012130E">
        <w:rPr>
          <w:rFonts w:ascii="Times New Roman" w:hAnsi="Times New Roman" w:cs="Times New Roman"/>
          <w:iCs/>
          <w:sz w:val="20"/>
          <w:szCs w:val="20"/>
        </w:rPr>
        <w:t>&lt;http://www.ilo.org/public/english/bureau/inst/papers/1997/dp96/index.htm#toc&gt;.</w:t>
      </w:r>
    </w:p>
    <w:p w:rsidR="00DF128A" w:rsidRPr="0012130E" w:rsidRDefault="00DF128A" w:rsidP="0082383D">
      <w:pPr>
        <w:widowControl w:val="0"/>
        <w:spacing w:after="120" w:line="276" w:lineRule="auto"/>
        <w:jc w:val="both"/>
        <w:rPr>
          <w:rFonts w:ascii="Times New Roman" w:hAnsi="Times New Roman" w:cs="Times New Roman"/>
          <w:iCs/>
          <w:sz w:val="20"/>
          <w:szCs w:val="20"/>
        </w:rPr>
      </w:pPr>
      <w:r w:rsidRPr="0012130E">
        <w:rPr>
          <w:rFonts w:ascii="Times New Roman" w:hAnsi="Times New Roman" w:cs="Times New Roman"/>
          <w:i/>
          <w:iCs/>
          <w:sz w:val="20"/>
          <w:szCs w:val="20"/>
        </w:rPr>
        <w:t>Offshore outsourcing</w:t>
      </w:r>
      <w:r w:rsidR="005658B9" w:rsidRPr="0012130E">
        <w:rPr>
          <w:rFonts w:ascii="Times New Roman" w:hAnsi="Times New Roman" w:cs="Times New Roman"/>
          <w:i/>
          <w:iCs/>
          <w:sz w:val="20"/>
          <w:szCs w:val="20"/>
        </w:rPr>
        <w:t xml:space="preserve">, </w:t>
      </w:r>
      <w:r w:rsidR="005658B9" w:rsidRPr="0012130E">
        <w:rPr>
          <w:rFonts w:ascii="Times New Roman" w:hAnsi="Times New Roman" w:cs="Times New Roman"/>
          <w:iCs/>
          <w:sz w:val="20"/>
          <w:szCs w:val="20"/>
        </w:rPr>
        <w:t>Offshore outsourcing</w:t>
      </w:r>
      <w:r w:rsidR="0012130E">
        <w:rPr>
          <w:rFonts w:ascii="Times New Roman" w:hAnsi="Times New Roman" w:cs="Times New Roman"/>
          <w:iCs/>
          <w:sz w:val="20"/>
          <w:szCs w:val="20"/>
        </w:rPr>
        <w:t>, 2007</w:t>
      </w:r>
      <w:r w:rsidR="005658B9" w:rsidRPr="0012130E">
        <w:rPr>
          <w:rFonts w:ascii="Times New Roman" w:hAnsi="Times New Roman" w:cs="Times New Roman"/>
          <w:iCs/>
          <w:sz w:val="20"/>
          <w:szCs w:val="20"/>
        </w:rPr>
        <w:t>.</w:t>
      </w:r>
      <w:r w:rsidRPr="0012130E">
        <w:rPr>
          <w:rFonts w:ascii="Times New Roman" w:hAnsi="Times New Roman" w:cs="Times New Roman"/>
          <w:iCs/>
          <w:sz w:val="20"/>
          <w:szCs w:val="20"/>
        </w:rPr>
        <w:t xml:space="preserve"> </w:t>
      </w:r>
      <w:r w:rsidR="0012130E" w:rsidRPr="00DF128A">
        <w:rPr>
          <w:rFonts w:ascii="Times New Roman" w:hAnsi="Times New Roman" w:cs="Times New Roman"/>
          <w:sz w:val="20"/>
          <w:szCs w:val="20"/>
        </w:rPr>
        <w:t>[cit. 2</w:t>
      </w:r>
      <w:r w:rsidR="0012130E">
        <w:rPr>
          <w:rFonts w:ascii="Times New Roman" w:hAnsi="Times New Roman" w:cs="Times New Roman"/>
          <w:sz w:val="20"/>
          <w:szCs w:val="20"/>
        </w:rPr>
        <w:t>0</w:t>
      </w:r>
      <w:r w:rsidR="0012130E" w:rsidRPr="00DF128A">
        <w:rPr>
          <w:rFonts w:ascii="Times New Roman" w:hAnsi="Times New Roman" w:cs="Times New Roman"/>
          <w:sz w:val="20"/>
          <w:szCs w:val="20"/>
        </w:rPr>
        <w:t xml:space="preserve">. </w:t>
      </w:r>
      <w:r w:rsidR="0012130E">
        <w:rPr>
          <w:rFonts w:ascii="Times New Roman" w:hAnsi="Times New Roman" w:cs="Times New Roman"/>
          <w:sz w:val="20"/>
          <w:szCs w:val="20"/>
        </w:rPr>
        <w:t>července</w:t>
      </w:r>
      <w:r w:rsidR="0012130E" w:rsidRPr="00DF128A">
        <w:rPr>
          <w:rFonts w:ascii="Times New Roman" w:hAnsi="Times New Roman" w:cs="Times New Roman"/>
          <w:sz w:val="20"/>
          <w:szCs w:val="20"/>
        </w:rPr>
        <w:t xml:space="preserve"> 201</w:t>
      </w:r>
      <w:r w:rsidR="0012130E">
        <w:rPr>
          <w:rFonts w:ascii="Times New Roman" w:hAnsi="Times New Roman" w:cs="Times New Roman"/>
          <w:sz w:val="20"/>
          <w:szCs w:val="20"/>
        </w:rPr>
        <w:t>1</w:t>
      </w:r>
      <w:r w:rsidR="0012130E" w:rsidRPr="00DF128A">
        <w:rPr>
          <w:rFonts w:ascii="Times New Roman" w:hAnsi="Times New Roman" w:cs="Times New Roman"/>
          <w:sz w:val="20"/>
          <w:szCs w:val="20"/>
        </w:rPr>
        <w:t>]. Dostupn</w:t>
      </w:r>
      <w:r w:rsidR="0012130E">
        <w:rPr>
          <w:rFonts w:ascii="Times New Roman" w:hAnsi="Times New Roman" w:cs="Times New Roman"/>
          <w:sz w:val="20"/>
          <w:szCs w:val="20"/>
        </w:rPr>
        <w:t>ý online</w:t>
      </w:r>
      <w:r w:rsidR="0012130E" w:rsidRPr="00DF128A">
        <w:rPr>
          <w:rFonts w:ascii="Times New Roman" w:hAnsi="Times New Roman" w:cs="Times New Roman"/>
          <w:sz w:val="20"/>
          <w:szCs w:val="20"/>
        </w:rPr>
        <w:t xml:space="preserve"> </w:t>
      </w:r>
      <w:r w:rsidR="0012130E" w:rsidRPr="00A207FC">
        <w:rPr>
          <w:rFonts w:ascii="Times New Roman" w:hAnsi="Times New Roman" w:cs="Times New Roman"/>
          <w:iCs/>
          <w:sz w:val="20"/>
          <w:szCs w:val="20"/>
        </w:rPr>
        <w:t>&lt;</w:t>
      </w:r>
      <w:r w:rsidRPr="0012130E">
        <w:rPr>
          <w:rFonts w:ascii="Times New Roman" w:hAnsi="Times New Roman" w:cs="Times New Roman"/>
          <w:iCs/>
          <w:sz w:val="20"/>
          <w:szCs w:val="20"/>
        </w:rPr>
        <w:t>http://www.offshoreoutsourcing.org/default.asp&gt;.</w:t>
      </w:r>
    </w:p>
    <w:p w:rsidR="00DF128A" w:rsidRPr="0012130E" w:rsidRDefault="005658B9" w:rsidP="0082383D">
      <w:pPr>
        <w:widowControl w:val="0"/>
        <w:spacing w:after="120" w:line="276" w:lineRule="auto"/>
        <w:jc w:val="both"/>
        <w:rPr>
          <w:rFonts w:ascii="Times New Roman" w:hAnsi="Times New Roman" w:cs="Times New Roman"/>
          <w:iCs/>
          <w:sz w:val="20"/>
          <w:szCs w:val="20"/>
        </w:rPr>
      </w:pPr>
      <w:r w:rsidRPr="0012130E">
        <w:rPr>
          <w:rFonts w:ascii="Times New Roman" w:hAnsi="Times New Roman" w:cs="Times New Roman"/>
          <w:i/>
          <w:iCs/>
          <w:sz w:val="20"/>
          <w:szCs w:val="20"/>
        </w:rPr>
        <w:t xml:space="preserve">Offshoring - What is Offshoring?, </w:t>
      </w:r>
      <w:r w:rsidR="00DF128A" w:rsidRPr="0012130E">
        <w:rPr>
          <w:rFonts w:ascii="Times New Roman" w:hAnsi="Times New Roman" w:cs="Times New Roman"/>
          <w:iCs/>
          <w:sz w:val="20"/>
          <w:szCs w:val="20"/>
        </w:rPr>
        <w:t>Sourcingmag</w:t>
      </w:r>
      <w:r w:rsidRPr="0012130E">
        <w:rPr>
          <w:rFonts w:ascii="Times New Roman" w:hAnsi="Times New Roman" w:cs="Times New Roman"/>
          <w:iCs/>
          <w:sz w:val="20"/>
          <w:szCs w:val="20"/>
        </w:rPr>
        <w:t>.</w:t>
      </w:r>
      <w:r w:rsidR="00DF128A" w:rsidRPr="0012130E">
        <w:rPr>
          <w:rFonts w:ascii="Times New Roman" w:hAnsi="Times New Roman" w:cs="Times New Roman"/>
          <w:iCs/>
          <w:sz w:val="20"/>
          <w:szCs w:val="20"/>
        </w:rPr>
        <w:t xml:space="preserve"> </w:t>
      </w:r>
      <w:r w:rsidR="0012130E" w:rsidRPr="0012130E">
        <w:rPr>
          <w:rFonts w:ascii="Times New Roman" w:hAnsi="Times New Roman" w:cs="Times New Roman"/>
          <w:sz w:val="20"/>
          <w:szCs w:val="20"/>
        </w:rPr>
        <w:t xml:space="preserve">[cit. 20. července 2011]. Dostupný online </w:t>
      </w:r>
      <w:r w:rsidR="0012130E" w:rsidRPr="0012130E">
        <w:rPr>
          <w:rFonts w:ascii="Times New Roman" w:hAnsi="Times New Roman" w:cs="Times New Roman"/>
          <w:iCs/>
          <w:sz w:val="20"/>
          <w:szCs w:val="20"/>
        </w:rPr>
        <w:t>&lt;</w:t>
      </w:r>
      <w:hyperlink r:id="rId35" w:history="1">
        <w:r w:rsidR="00DF128A" w:rsidRPr="0012130E">
          <w:rPr>
            <w:rFonts w:ascii="Times New Roman" w:hAnsi="Times New Roman" w:cs="Times New Roman"/>
            <w:iCs/>
            <w:sz w:val="20"/>
            <w:szCs w:val="20"/>
          </w:rPr>
          <w:t>http://www.sourcingmag.com/content/what_is_offshoring.asp</w:t>
        </w:r>
      </w:hyperlink>
      <w:r w:rsidR="00DF128A" w:rsidRPr="0012130E">
        <w:rPr>
          <w:rFonts w:ascii="Times New Roman" w:hAnsi="Times New Roman" w:cs="Times New Roman"/>
          <w:iCs/>
          <w:sz w:val="20"/>
          <w:szCs w:val="20"/>
        </w:rPr>
        <w:t>&gt;.</w:t>
      </w:r>
    </w:p>
    <w:p w:rsidR="00DF128A" w:rsidRPr="0012130E" w:rsidRDefault="00DF128A" w:rsidP="0082383D">
      <w:pPr>
        <w:widowControl w:val="0"/>
        <w:spacing w:after="120" w:line="276" w:lineRule="auto"/>
        <w:jc w:val="both"/>
        <w:rPr>
          <w:rFonts w:ascii="Times New Roman" w:hAnsi="Times New Roman" w:cs="Times New Roman"/>
          <w:iCs/>
          <w:sz w:val="20"/>
          <w:szCs w:val="20"/>
        </w:rPr>
      </w:pPr>
      <w:r w:rsidRPr="0012130E">
        <w:rPr>
          <w:rFonts w:ascii="Times New Roman" w:hAnsi="Times New Roman" w:cs="Times New Roman"/>
          <w:iCs/>
          <w:sz w:val="20"/>
          <w:szCs w:val="20"/>
        </w:rPr>
        <w:t>Třešňák, Petr</w:t>
      </w:r>
      <w:r w:rsidR="0012130E" w:rsidRPr="0012130E">
        <w:rPr>
          <w:rFonts w:ascii="Times New Roman" w:hAnsi="Times New Roman" w:cs="Times New Roman"/>
          <w:iCs/>
          <w:sz w:val="20"/>
          <w:szCs w:val="20"/>
        </w:rPr>
        <w:t xml:space="preserve"> (2007)</w:t>
      </w:r>
      <w:r w:rsidRPr="0012130E">
        <w:rPr>
          <w:rFonts w:ascii="Times New Roman" w:hAnsi="Times New Roman" w:cs="Times New Roman"/>
          <w:iCs/>
          <w:sz w:val="20"/>
          <w:szCs w:val="20"/>
        </w:rPr>
        <w:t>: Globalizace miluje Prahu</w:t>
      </w:r>
      <w:r w:rsidR="0012130E" w:rsidRPr="0012130E">
        <w:rPr>
          <w:rFonts w:ascii="Times New Roman" w:hAnsi="Times New Roman" w:cs="Times New Roman"/>
          <w:iCs/>
          <w:sz w:val="20"/>
          <w:szCs w:val="20"/>
        </w:rPr>
        <w:t xml:space="preserve">, </w:t>
      </w:r>
      <w:r w:rsidR="0012130E" w:rsidRPr="0012130E">
        <w:rPr>
          <w:rFonts w:ascii="Times New Roman" w:hAnsi="Times New Roman" w:cs="Times New Roman"/>
          <w:i/>
          <w:iCs/>
          <w:sz w:val="20"/>
          <w:szCs w:val="20"/>
        </w:rPr>
        <w:t xml:space="preserve">Respekt, </w:t>
      </w:r>
      <w:r w:rsidR="0012130E" w:rsidRPr="0012130E">
        <w:rPr>
          <w:rFonts w:ascii="Times New Roman" w:hAnsi="Times New Roman" w:cs="Times New Roman"/>
          <w:iCs/>
          <w:sz w:val="20"/>
          <w:szCs w:val="20"/>
        </w:rPr>
        <w:t>roč. , č., s. .</w:t>
      </w:r>
      <w:r w:rsidRPr="0012130E">
        <w:rPr>
          <w:rFonts w:ascii="Times New Roman" w:hAnsi="Times New Roman" w:cs="Times New Roman"/>
          <w:iCs/>
          <w:sz w:val="20"/>
          <w:szCs w:val="20"/>
        </w:rPr>
        <w:t xml:space="preserve"> </w:t>
      </w:r>
      <w:r w:rsidR="0012130E" w:rsidRPr="0012130E">
        <w:rPr>
          <w:rFonts w:ascii="Times New Roman" w:hAnsi="Times New Roman" w:cs="Times New Roman"/>
          <w:sz w:val="20"/>
          <w:szCs w:val="20"/>
        </w:rPr>
        <w:t xml:space="preserve">[cit. 20. července 2011]. Dostupný online </w:t>
      </w:r>
      <w:r w:rsidR="0012130E" w:rsidRPr="0012130E">
        <w:rPr>
          <w:rFonts w:ascii="Times New Roman" w:hAnsi="Times New Roman" w:cs="Times New Roman"/>
          <w:iCs/>
          <w:sz w:val="20"/>
          <w:szCs w:val="20"/>
        </w:rPr>
        <w:t>&lt;</w:t>
      </w:r>
      <w:r w:rsidRPr="0012130E">
        <w:rPr>
          <w:rFonts w:ascii="Times New Roman" w:hAnsi="Times New Roman" w:cs="Times New Roman"/>
          <w:iCs/>
          <w:sz w:val="20"/>
          <w:szCs w:val="20"/>
        </w:rPr>
        <w:t>http://www.respekt.cz/&gt;.</w:t>
      </w:r>
    </w:p>
    <w:p w:rsidR="00DF128A" w:rsidRPr="0012130E" w:rsidRDefault="00DF128A" w:rsidP="0082383D">
      <w:pPr>
        <w:widowControl w:val="0"/>
        <w:spacing w:after="120" w:line="276" w:lineRule="auto"/>
        <w:jc w:val="both"/>
        <w:rPr>
          <w:rFonts w:ascii="Times New Roman" w:hAnsi="Times New Roman" w:cs="Times New Roman"/>
          <w:iCs/>
          <w:sz w:val="20"/>
          <w:szCs w:val="20"/>
        </w:rPr>
      </w:pPr>
      <w:r w:rsidRPr="0012130E">
        <w:rPr>
          <w:rFonts w:ascii="Times New Roman" w:hAnsi="Times New Roman" w:cs="Times New Roman"/>
          <w:i/>
          <w:iCs/>
          <w:sz w:val="20"/>
          <w:szCs w:val="20"/>
        </w:rPr>
        <w:t>Offshore outsourcing</w:t>
      </w:r>
      <w:r w:rsidR="005658B9" w:rsidRPr="0012130E">
        <w:rPr>
          <w:rFonts w:ascii="Times New Roman" w:hAnsi="Times New Roman" w:cs="Times New Roman"/>
          <w:iCs/>
          <w:sz w:val="20"/>
          <w:szCs w:val="20"/>
        </w:rPr>
        <w:t>,</w:t>
      </w:r>
      <w:r w:rsidRPr="0012130E">
        <w:rPr>
          <w:rFonts w:ascii="Times New Roman" w:hAnsi="Times New Roman" w:cs="Times New Roman"/>
          <w:iCs/>
          <w:sz w:val="20"/>
          <w:szCs w:val="20"/>
        </w:rPr>
        <w:t xml:space="preserve"> </w:t>
      </w:r>
      <w:r w:rsidR="005658B9" w:rsidRPr="0012130E">
        <w:rPr>
          <w:rFonts w:ascii="Times New Roman" w:hAnsi="Times New Roman" w:cs="Times New Roman"/>
          <w:iCs/>
          <w:sz w:val="20"/>
          <w:szCs w:val="20"/>
        </w:rPr>
        <w:t>Wikipedia - the free encyclopedia</w:t>
      </w:r>
      <w:r w:rsidR="0012130E" w:rsidRPr="0012130E">
        <w:rPr>
          <w:rFonts w:ascii="Times New Roman" w:hAnsi="Times New Roman" w:cs="Times New Roman"/>
          <w:sz w:val="20"/>
          <w:szCs w:val="20"/>
        </w:rPr>
        <w:t xml:space="preserve">[cit. 20. července 2011]. Dostupný online </w:t>
      </w:r>
      <w:r w:rsidR="0012130E" w:rsidRPr="0012130E">
        <w:rPr>
          <w:rFonts w:ascii="Times New Roman" w:hAnsi="Times New Roman" w:cs="Times New Roman"/>
          <w:iCs/>
          <w:sz w:val="20"/>
          <w:szCs w:val="20"/>
        </w:rPr>
        <w:t>&lt;</w:t>
      </w:r>
      <w:r w:rsidRPr="0012130E">
        <w:rPr>
          <w:rFonts w:ascii="Times New Roman" w:hAnsi="Times New Roman" w:cs="Times New Roman"/>
          <w:iCs/>
          <w:sz w:val="20"/>
          <w:szCs w:val="20"/>
        </w:rPr>
        <w:t>http://en.wikipedia.org/wiki/Offshore_outsourcing&gt;.</w:t>
      </w:r>
    </w:p>
    <w:p w:rsidR="00DF128A" w:rsidRPr="0012130E" w:rsidRDefault="005658B9" w:rsidP="0082383D">
      <w:pPr>
        <w:widowControl w:val="0"/>
        <w:spacing w:after="120" w:line="276" w:lineRule="auto"/>
        <w:jc w:val="both"/>
        <w:rPr>
          <w:rFonts w:ascii="Times New Roman" w:hAnsi="Times New Roman" w:cs="Times New Roman"/>
          <w:iCs/>
          <w:sz w:val="20"/>
          <w:szCs w:val="20"/>
        </w:rPr>
      </w:pPr>
      <w:r w:rsidRPr="0012130E">
        <w:rPr>
          <w:rFonts w:ascii="Times New Roman" w:hAnsi="Times New Roman" w:cs="Times New Roman"/>
          <w:i/>
          <w:iCs/>
          <w:sz w:val="20"/>
          <w:szCs w:val="20"/>
        </w:rPr>
        <w:t xml:space="preserve">Bangalore, </w:t>
      </w:r>
      <w:r w:rsidR="00DF128A" w:rsidRPr="0012130E">
        <w:rPr>
          <w:rFonts w:ascii="Times New Roman" w:hAnsi="Times New Roman" w:cs="Times New Roman"/>
          <w:iCs/>
          <w:sz w:val="20"/>
          <w:szCs w:val="20"/>
        </w:rPr>
        <w:t>Wikipedia - the free encyclopedia</w:t>
      </w:r>
      <w:r w:rsidRPr="0012130E">
        <w:rPr>
          <w:rFonts w:ascii="Times New Roman" w:hAnsi="Times New Roman" w:cs="Times New Roman"/>
          <w:iCs/>
          <w:sz w:val="20"/>
          <w:szCs w:val="20"/>
        </w:rPr>
        <w:t>.</w:t>
      </w:r>
      <w:r w:rsidR="00DF128A" w:rsidRPr="0012130E">
        <w:rPr>
          <w:rFonts w:ascii="Times New Roman" w:hAnsi="Times New Roman" w:cs="Times New Roman"/>
          <w:iCs/>
          <w:sz w:val="20"/>
          <w:szCs w:val="20"/>
        </w:rPr>
        <w:t xml:space="preserve"> </w:t>
      </w:r>
      <w:r w:rsidR="0012130E" w:rsidRPr="0012130E">
        <w:rPr>
          <w:rFonts w:ascii="Times New Roman" w:hAnsi="Times New Roman" w:cs="Times New Roman"/>
          <w:sz w:val="20"/>
          <w:szCs w:val="20"/>
        </w:rPr>
        <w:t xml:space="preserve">[cit. 20. července 2011]. Dostupný online </w:t>
      </w:r>
      <w:r w:rsidR="0012130E" w:rsidRPr="0012130E">
        <w:rPr>
          <w:rFonts w:ascii="Times New Roman" w:hAnsi="Times New Roman" w:cs="Times New Roman"/>
          <w:iCs/>
          <w:sz w:val="20"/>
          <w:szCs w:val="20"/>
        </w:rPr>
        <w:t>&lt;</w:t>
      </w:r>
      <w:r w:rsidR="00DF128A" w:rsidRPr="0012130E">
        <w:rPr>
          <w:rFonts w:ascii="Times New Roman" w:hAnsi="Times New Roman" w:cs="Times New Roman"/>
          <w:iCs/>
          <w:sz w:val="20"/>
          <w:szCs w:val="20"/>
        </w:rPr>
        <w:t>http://en.wikipedia.org/wiki/Bangalore&gt;.</w:t>
      </w:r>
    </w:p>
    <w:p w:rsidR="00DF128A" w:rsidRPr="0012130E" w:rsidRDefault="00DF128A" w:rsidP="00DF128A">
      <w:pPr>
        <w:widowControl w:val="0"/>
        <w:spacing w:line="276" w:lineRule="auto"/>
        <w:ind w:firstLine="709"/>
        <w:jc w:val="both"/>
        <w:rPr>
          <w:rFonts w:ascii="Times New Roman" w:hAnsi="Times New Roman" w:cs="Times New Roman"/>
          <w:sz w:val="24"/>
          <w:szCs w:val="24"/>
        </w:rPr>
      </w:pPr>
    </w:p>
    <w:p w:rsidR="0012130E" w:rsidRPr="00DF128A" w:rsidRDefault="0012130E"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br w:type="page"/>
      </w:r>
    </w:p>
    <w:p w:rsidR="00DF128A" w:rsidRPr="008843BB" w:rsidRDefault="008843BB" w:rsidP="009B5078">
      <w:pPr>
        <w:pStyle w:val="Nadpis1"/>
        <w:ind w:firstLine="0"/>
      </w:pPr>
      <w:bookmarkStart w:id="40" w:name="_Toc331023972"/>
      <w:r w:rsidRPr="008843BB">
        <w:lastRenderedPageBreak/>
        <w:t>AMERIKANIZACE VOLEBNÍCH KAMPANÍ</w:t>
      </w:r>
      <w:bookmarkEnd w:id="40"/>
    </w:p>
    <w:p w:rsidR="008843BB" w:rsidRPr="008843BB" w:rsidRDefault="008843BB" w:rsidP="008843BB">
      <w:pPr>
        <w:jc w:val="center"/>
        <w:rPr>
          <w:b/>
          <w:lang w:eastAsia="cs-CZ"/>
        </w:rPr>
      </w:pPr>
    </w:p>
    <w:p w:rsidR="00DF128A" w:rsidRPr="008843BB" w:rsidRDefault="00DF128A" w:rsidP="008843BB">
      <w:pPr>
        <w:pStyle w:val="Nadpis4"/>
        <w:keepNext w:val="0"/>
        <w:widowControl w:val="0"/>
        <w:numPr>
          <w:ilvl w:val="0"/>
          <w:numId w:val="0"/>
        </w:numPr>
        <w:spacing w:before="0" w:after="0" w:line="276" w:lineRule="auto"/>
        <w:jc w:val="center"/>
        <w:rPr>
          <w:b w:val="0"/>
          <w:i/>
          <w:sz w:val="24"/>
          <w:szCs w:val="24"/>
        </w:rPr>
      </w:pPr>
      <w:r w:rsidRPr="008843BB">
        <w:rPr>
          <w:b w:val="0"/>
          <w:i/>
          <w:sz w:val="24"/>
          <w:szCs w:val="24"/>
        </w:rPr>
        <w:t>Petr Voda</w:t>
      </w:r>
    </w:p>
    <w:p w:rsidR="008843BB" w:rsidRDefault="008843BB" w:rsidP="00B038A1">
      <w:pPr>
        <w:pStyle w:val="Nadpis1"/>
      </w:pPr>
    </w:p>
    <w:p w:rsidR="00DF128A" w:rsidRPr="00DF128A" w:rsidRDefault="00DF128A" w:rsidP="009B5078">
      <w:pPr>
        <w:pStyle w:val="Nadpis1"/>
        <w:ind w:firstLine="0"/>
        <w:jc w:val="left"/>
      </w:pPr>
      <w:bookmarkStart w:id="41" w:name="_Toc301255448"/>
      <w:bookmarkStart w:id="42" w:name="_Toc331023973"/>
      <w:r w:rsidRPr="00DF128A">
        <w:t>Ú</w:t>
      </w:r>
      <w:bookmarkEnd w:id="41"/>
      <w:r w:rsidR="004F069E">
        <w:t>vod</w:t>
      </w:r>
      <w:bookmarkEnd w:id="42"/>
    </w:p>
    <w:p w:rsidR="00DF128A" w:rsidRPr="00DF128A" w:rsidRDefault="00DF128A" w:rsidP="00DF128A">
      <w:pPr>
        <w:pStyle w:val="Zkladntext"/>
        <w:widowControl w:val="0"/>
        <w:spacing w:after="0"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V současné době je velká část států světa svou formou vlády demokraciemi. Jedním z nejdůležitějších prvků demokracie</w:t>
      </w:r>
      <w:r w:rsidRPr="00DF128A">
        <w:rPr>
          <w:rStyle w:val="Znakapoznpodarou"/>
          <w:rFonts w:ascii="Times New Roman" w:hAnsi="Times New Roman" w:cs="Times New Roman"/>
          <w:sz w:val="24"/>
          <w:szCs w:val="24"/>
        </w:rPr>
        <w:footnoteReference w:id="18"/>
      </w:r>
      <w:r w:rsidRPr="00DF128A">
        <w:rPr>
          <w:rFonts w:ascii="Times New Roman" w:hAnsi="Times New Roman" w:cs="Times New Roman"/>
          <w:sz w:val="24"/>
          <w:szCs w:val="24"/>
        </w:rPr>
        <w:t xml:space="preserve"> jsou volby. O výsledcích voleb pak ve svobodné společnosti rozhoduje celá řada událostí. Činnost vlády v uplynulých letech, zacílení programu na segmenty společnosti, oblíbenost kandidáta a mnoho dalších a to vše se pak odráží ve volebních kampaních. Někteří autoři si povšimli ve vývoji v této oblasti trendu, kterým se stávají předvolební kampaně podobné v zemích s poměrně rozdílnými podmínkami. Tento proces získal označení amerikanizace. Termín byl velmi módní a zeširoka diskutovaný především v 90. letech. Ač hlavní vlna zájmu již (prozatím) opadla, je stále poměrně nejasné, co vlastně amerikanizace je, pokud tedy lze o něčem takovém vůbec hovořit. </w:t>
      </w:r>
    </w:p>
    <w:p w:rsidR="00DF128A" w:rsidRPr="00DF128A" w:rsidRDefault="00DF128A" w:rsidP="00DF128A">
      <w:pPr>
        <w:pStyle w:val="Zkladntext"/>
        <w:widowControl w:val="0"/>
        <w:spacing w:after="0"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V této práci budou zmíněny podmínky umožňující amerikan</w:t>
      </w:r>
      <w:r w:rsidR="00BD5839">
        <w:rPr>
          <w:rFonts w:ascii="Times New Roman" w:hAnsi="Times New Roman" w:cs="Times New Roman"/>
          <w:sz w:val="24"/>
          <w:szCs w:val="24"/>
        </w:rPr>
        <w:t>i</w:t>
      </w:r>
      <w:r w:rsidRPr="00DF128A">
        <w:rPr>
          <w:rFonts w:ascii="Times New Roman" w:hAnsi="Times New Roman" w:cs="Times New Roman"/>
          <w:sz w:val="24"/>
          <w:szCs w:val="24"/>
        </w:rPr>
        <w:t xml:space="preserve">zaci a některé přístupy k jejímu výzkumu a posléze budou pomocí definovaných indikátorů porovnány reálie prezidentských a parlamentních kampaní v několika případových studiích vybraných zemí světových regionů, aby na výsledcích této komparace mohla být potvrzena či vyvrácena hypotéza o tom, že s procesem amerikanizace se volební kampaně stávají více podobnými. Komparace se bude opírat především o výsledky výzkumu profesionálních politických konzultantů a jejich praktik publikované v knize Fritze Plassera a Gundy Plasserové (2002) </w:t>
      </w:r>
      <w:r w:rsidRPr="00DF128A">
        <w:rPr>
          <w:rFonts w:ascii="Times New Roman" w:hAnsi="Times New Roman" w:cs="Times New Roman"/>
          <w:i/>
          <w:iCs/>
          <w:sz w:val="24"/>
          <w:szCs w:val="24"/>
        </w:rPr>
        <w:t>Global political campaigning</w:t>
      </w:r>
      <w:r w:rsidRPr="00DF128A">
        <w:rPr>
          <w:rFonts w:ascii="Times New Roman" w:hAnsi="Times New Roman" w:cs="Times New Roman"/>
          <w:sz w:val="24"/>
          <w:szCs w:val="24"/>
        </w:rPr>
        <w:t xml:space="preserve">, ve které je shrnut globální výzkum konzultantů, kterého se v roli respondentů zúčastnilo 592 konzultantů a stranických vůdců ze 43 zemí. Předmětem rozhovorů bylo hodnocení rozhodujících faktorů v kampani, zkušenosti se zahraniční (americkou) pomocí a vnímání dřívějších změn v kampaních v jejich zemi.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F31E15" w:rsidP="004F069E">
      <w:pPr>
        <w:pStyle w:val="Nadpis1"/>
        <w:ind w:firstLine="0"/>
        <w:jc w:val="left"/>
      </w:pPr>
      <w:bookmarkStart w:id="43" w:name="_Toc301255449"/>
      <w:bookmarkStart w:id="44" w:name="_Toc331023974"/>
      <w:r>
        <w:t xml:space="preserve">Podmínky a </w:t>
      </w:r>
      <w:r w:rsidR="00DF128A" w:rsidRPr="00DF128A">
        <w:t>možnosti amerikanizace</w:t>
      </w:r>
      <w:bookmarkEnd w:id="43"/>
      <w:bookmarkEnd w:id="44"/>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Hlavními a nezbytnými podmínkami pro amerikanizaci volební kampaně v konkrétní zemi je konání svobodných soutěživých voleb a existence televizního vysílání, ke kterému mají přístup široké skupiny společnosti (Plasser 2002: 1). Globalizace volební kampaně by tedy nebyla možná bez předchozího rozmachu televize a etablování se demokracie jako univerzální procedury vládnutí a voleb jako univerzálního nástroje k selekci politické elity.</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noProof/>
          <w:sz w:val="24"/>
          <w:szCs w:val="24"/>
          <w:lang w:eastAsia="cs-CZ"/>
        </w:rPr>
        <w:lastRenderedPageBreak/>
        <w:drawing>
          <wp:inline distT="0" distB="0" distL="0" distR="0" wp14:anchorId="359F9F56" wp14:editId="47B07478">
            <wp:extent cx="5372100" cy="3390900"/>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72100" cy="3390900"/>
                    </a:xfrm>
                    <a:prstGeom prst="rect">
                      <a:avLst/>
                    </a:prstGeom>
                    <a:noFill/>
                    <a:ln>
                      <a:noFill/>
                    </a:ln>
                  </pic:spPr>
                </pic:pic>
              </a:graphicData>
            </a:graphic>
          </wp:inline>
        </w:drawing>
      </w:r>
    </w:p>
    <w:p w:rsidR="00DF128A" w:rsidRPr="00DF128A" w:rsidRDefault="00DF128A" w:rsidP="008843BB">
      <w:pPr>
        <w:widowControl w:val="0"/>
        <w:spacing w:line="276" w:lineRule="auto"/>
        <w:jc w:val="both"/>
        <w:rPr>
          <w:rFonts w:ascii="Times New Roman" w:hAnsi="Times New Roman" w:cs="Times New Roman"/>
          <w:sz w:val="24"/>
          <w:szCs w:val="24"/>
        </w:rPr>
      </w:pPr>
      <w:r w:rsidRPr="00DF128A">
        <w:rPr>
          <w:rFonts w:ascii="Times New Roman" w:hAnsi="Times New Roman" w:cs="Times New Roman"/>
          <w:noProof/>
          <w:sz w:val="24"/>
          <w:szCs w:val="24"/>
          <w:lang w:eastAsia="cs-CZ"/>
        </w:rPr>
        <w:drawing>
          <wp:inline distT="0" distB="0" distL="0" distR="0" wp14:anchorId="5770EB58" wp14:editId="22018150">
            <wp:extent cx="5476875" cy="295275"/>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76875" cy="295275"/>
                    </a:xfrm>
                    <a:prstGeom prst="rect">
                      <a:avLst/>
                    </a:prstGeom>
                    <a:noFill/>
                    <a:ln>
                      <a:noFill/>
                    </a:ln>
                  </pic:spPr>
                </pic:pic>
              </a:graphicData>
            </a:graphic>
          </wp:inline>
        </w:drawing>
      </w:r>
    </w:p>
    <w:p w:rsidR="00F31E15" w:rsidRDefault="00DF128A" w:rsidP="008843BB">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Obr. 1: demokracie ve světě v roce 2009</w:t>
      </w:r>
    </w:p>
    <w:p w:rsidR="00DF128A" w:rsidRPr="008843BB" w:rsidRDefault="00DF128A" w:rsidP="008843BB">
      <w:pPr>
        <w:widowControl w:val="0"/>
        <w:spacing w:line="276" w:lineRule="auto"/>
        <w:jc w:val="both"/>
        <w:rPr>
          <w:rFonts w:ascii="Times New Roman" w:hAnsi="Times New Roman" w:cs="Times New Roman"/>
          <w:i/>
          <w:iCs/>
          <w:sz w:val="20"/>
          <w:szCs w:val="20"/>
        </w:rPr>
      </w:pPr>
      <w:r w:rsidRPr="008843BB">
        <w:rPr>
          <w:rFonts w:ascii="Times New Roman" w:hAnsi="Times New Roman" w:cs="Times New Roman"/>
          <w:i/>
          <w:iCs/>
          <w:sz w:val="20"/>
          <w:szCs w:val="20"/>
        </w:rPr>
        <w:t xml:space="preserve">zdroj: </w:t>
      </w:r>
      <w:r w:rsidR="00F31E15">
        <w:rPr>
          <w:rFonts w:ascii="Times New Roman" w:hAnsi="Times New Roman" w:cs="Times New Roman"/>
          <w:i/>
          <w:iCs/>
          <w:sz w:val="20"/>
          <w:szCs w:val="20"/>
        </w:rPr>
        <w:t>f</w:t>
      </w:r>
      <w:r w:rsidRPr="00F31E15">
        <w:rPr>
          <w:rFonts w:ascii="Times New Roman" w:hAnsi="Times New Roman" w:cs="Times New Roman"/>
          <w:i/>
          <w:iCs/>
          <w:sz w:val="20"/>
          <w:szCs w:val="20"/>
        </w:rPr>
        <w:t>reedomhouse.org</w:t>
      </w:r>
    </w:p>
    <w:p w:rsidR="00DF128A" w:rsidRPr="008843BB" w:rsidRDefault="00DF128A" w:rsidP="008843BB">
      <w:pPr>
        <w:widowControl w:val="0"/>
        <w:spacing w:line="276" w:lineRule="auto"/>
        <w:jc w:val="both"/>
        <w:rPr>
          <w:rFonts w:ascii="Times New Roman" w:hAnsi="Times New Roman" w:cs="Times New Roman"/>
          <w:i/>
          <w:iCs/>
          <w:sz w:val="20"/>
          <w:szCs w:val="20"/>
        </w:rPr>
      </w:pPr>
      <w:r w:rsidRPr="008843BB">
        <w:rPr>
          <w:rFonts w:ascii="Times New Roman" w:hAnsi="Times New Roman" w:cs="Times New Roman"/>
          <w:i/>
          <w:iCs/>
          <w:sz w:val="20"/>
          <w:szCs w:val="20"/>
        </w:rPr>
        <w:t>(zelená – demokratické státy, žlutá – částečně demokratické státy, modrá – nedemokratické režimy)</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Hlavními zdroji amerikanizace byla mediální a marketingová revoluce. Mediální revoluce vypukla v 60. letech v USA, aby následovala Austrálie, západní Evropa a východní Asie, později pak Latinská Amerika a východní Evropa a nyní Jižní Afrika, jihovýchodní Asie a Indie. Marketingová revoluce má stejné místo původu i průběh šíření. Na rozdíl od ní ale nejde o kvantitativní rozšiřování komunikačních kanálů ale o posun v kvalitativní formě sdělení. Hojně jsou využívání mediální poradci vytvářející pro klienta příležitosti dostat se do medií, celostátní televizní reklama se stává hlavním prostředkem k vítězství, objevuje se negativní reklama. Důsledky stále ještě probíhajících revolucí na kvalitu demokracie jsou pojímány rozporuplně. Důsledky jsou ale patrné i v celosvětovém měřítku (Plasser 2002: 4). Média jsou sice klíčovým, nikoli ale jediným prvkem nutným k porozumění moderním kampaním, dalším je např. vztah mezi voličem a stranou/kandidátem (Scammell 1997: 2).</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 </w:t>
      </w:r>
    </w:p>
    <w:p w:rsidR="00DF128A" w:rsidRPr="00DF128A" w:rsidRDefault="00DF128A" w:rsidP="00B038A1">
      <w:pPr>
        <w:pStyle w:val="Nadpis1"/>
      </w:pPr>
      <w:bookmarkStart w:id="45" w:name="_Toc301255450"/>
      <w:bookmarkStart w:id="46" w:name="_Toc331023975"/>
      <w:r w:rsidRPr="00DF128A">
        <w:t>Indikátory amerikanizace volební kampaně</w:t>
      </w:r>
      <w:bookmarkEnd w:id="45"/>
      <w:bookmarkEnd w:id="46"/>
    </w:p>
    <w:p w:rsidR="00DF128A" w:rsidRPr="00DF128A" w:rsidRDefault="00DF128A" w:rsidP="00DF128A">
      <w:pPr>
        <w:pStyle w:val="Zkladntext"/>
        <w:widowControl w:val="0"/>
        <w:spacing w:after="0"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Základní otázka, která si musí zaznít, zní: "Co je to amerikanizace?". Pro potřeby této práce postačí takto definovaný rámec: amerikanizace je přijímání formy a/nebo obsahu amerických kampaní (Plasser 2002: 15). Tento proces lze pozorovat v řadě projevů. Některé z těchto projevů poslouží jako indikátory pro následné případové studie.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Seznam indikátorů amerikanizace:</w:t>
      </w:r>
    </w:p>
    <w:p w:rsidR="00DF128A" w:rsidRPr="00DF128A" w:rsidRDefault="00DF128A" w:rsidP="00DF128A">
      <w:pPr>
        <w:widowControl w:val="0"/>
        <w:numPr>
          <w:ilvl w:val="0"/>
          <w:numId w:val="13"/>
        </w:numPr>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účast amerických konzultantů či konzultačních firem</w:t>
      </w:r>
    </w:p>
    <w:p w:rsidR="00DF128A" w:rsidRPr="00DF128A" w:rsidRDefault="00DF128A" w:rsidP="00DF128A">
      <w:pPr>
        <w:widowControl w:val="0"/>
        <w:numPr>
          <w:ilvl w:val="0"/>
          <w:numId w:val="13"/>
        </w:numPr>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velký podíl TV reklamy</w:t>
      </w:r>
    </w:p>
    <w:p w:rsidR="00DF128A" w:rsidRPr="00DF128A" w:rsidRDefault="00DF128A" w:rsidP="00DF128A">
      <w:pPr>
        <w:widowControl w:val="0"/>
        <w:numPr>
          <w:ilvl w:val="0"/>
          <w:numId w:val="13"/>
        </w:numPr>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negativní reklama</w:t>
      </w:r>
    </w:p>
    <w:p w:rsidR="00DF128A" w:rsidRPr="00DF128A" w:rsidRDefault="00DF128A" w:rsidP="00DF128A">
      <w:pPr>
        <w:widowControl w:val="0"/>
        <w:numPr>
          <w:ilvl w:val="0"/>
          <w:numId w:val="13"/>
        </w:numPr>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lastRenderedPageBreak/>
        <w:t>jednoduchá sdělení</w:t>
      </w:r>
    </w:p>
    <w:p w:rsidR="00DF128A" w:rsidRPr="00DF128A" w:rsidRDefault="00DF128A" w:rsidP="00DF128A">
      <w:pPr>
        <w:widowControl w:val="0"/>
        <w:numPr>
          <w:ilvl w:val="0"/>
          <w:numId w:val="13"/>
        </w:numPr>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používání předvolebních průzkumů</w:t>
      </w:r>
    </w:p>
    <w:p w:rsidR="00DF128A" w:rsidRPr="00DF128A" w:rsidRDefault="00DF128A" w:rsidP="00DF128A">
      <w:pPr>
        <w:widowControl w:val="0"/>
        <w:numPr>
          <w:ilvl w:val="0"/>
          <w:numId w:val="12"/>
        </w:numPr>
        <w:spacing w:line="276" w:lineRule="auto"/>
        <w:ind w:left="0" w:firstLine="709"/>
        <w:jc w:val="both"/>
        <w:rPr>
          <w:rFonts w:ascii="Times New Roman" w:hAnsi="Times New Roman" w:cs="Times New Roman"/>
          <w:sz w:val="24"/>
          <w:szCs w:val="24"/>
        </w:rPr>
      </w:pPr>
      <w:r w:rsidRPr="00DF128A">
        <w:rPr>
          <w:rFonts w:ascii="Times New Roman" w:hAnsi="Times New Roman" w:cs="Times New Roman"/>
          <w:sz w:val="24"/>
          <w:szCs w:val="24"/>
        </w:rPr>
        <w:t>personalizace</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Vytvoření relevantních indikátorů je možné díky tomu, že rámec politického marketingu může být popisován, analyzován a modifikován v různých regionálních a kulturních souvislostech. Protože hlavní logika politického marketingu může být transformována kamkoli, pak výsledkem může být vytvoření operacionalizačních standardů moderních kampaní, na takto operacionalizované kampaně lze snadno nahlížet z komparativního úhlu pohledu. (Plasser 2002: 4)</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4F069E">
      <w:pPr>
        <w:pStyle w:val="Nadpis1"/>
        <w:ind w:firstLine="0"/>
        <w:jc w:val="left"/>
      </w:pPr>
      <w:bookmarkStart w:id="47" w:name="_Toc301255451"/>
      <w:bookmarkStart w:id="48" w:name="_Toc331023976"/>
      <w:r w:rsidRPr="00DF128A">
        <w:t>Přístupy k amerikanizaci</w:t>
      </w:r>
      <w:bookmarkEnd w:id="47"/>
      <w:bookmarkEnd w:id="48"/>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Koncept amerikanizace, tak jak byl výše představen, vyvolává řadu otázek. Spor vyvolává především otázka, zda je amerikanizace výsledkem vlivu USA a tamních konzultantů, nebo je její řídící silou domácí rozvoj mediální scény a moderní techniky kampaně se uchytily v předvolební realitě států jen za nepřímého vlivu americké zkušenosti. Postoje k této a dalším otázkám lze rozdělit do tří okruhů:</w:t>
      </w:r>
    </w:p>
    <w:p w:rsidR="00DF128A" w:rsidRPr="00DF128A" w:rsidRDefault="00DF128A" w:rsidP="00F31E15">
      <w:pPr>
        <w:widowControl w:val="0"/>
        <w:numPr>
          <w:ilvl w:val="0"/>
          <w:numId w:val="14"/>
        </w:numPr>
        <w:tabs>
          <w:tab w:val="clear" w:pos="720"/>
          <w:tab w:val="num" w:pos="426"/>
        </w:tabs>
        <w:spacing w:line="276" w:lineRule="auto"/>
        <w:ind w:left="0" w:firstLine="0"/>
        <w:jc w:val="both"/>
        <w:rPr>
          <w:rFonts w:ascii="Times New Roman" w:hAnsi="Times New Roman" w:cs="Times New Roman"/>
          <w:sz w:val="24"/>
          <w:szCs w:val="24"/>
        </w:rPr>
      </w:pPr>
      <w:r w:rsidRPr="00DF128A">
        <w:rPr>
          <w:rFonts w:ascii="Times New Roman" w:hAnsi="Times New Roman" w:cs="Times New Roman"/>
          <w:sz w:val="24"/>
          <w:szCs w:val="24"/>
          <w:u w:val="single"/>
        </w:rPr>
        <w:t>globalizace a amerikanizace jsou totožné</w:t>
      </w:r>
      <w:r w:rsidRPr="00DF128A">
        <w:rPr>
          <w:rFonts w:ascii="Times New Roman" w:hAnsi="Times New Roman" w:cs="Times New Roman"/>
          <w:sz w:val="24"/>
          <w:szCs w:val="24"/>
        </w:rPr>
        <w:t xml:space="preserve"> (dif</w:t>
      </w:r>
      <w:r w:rsidR="00BD5839">
        <w:rPr>
          <w:rFonts w:ascii="Times New Roman" w:hAnsi="Times New Roman" w:cs="Times New Roman"/>
          <w:sz w:val="24"/>
          <w:szCs w:val="24"/>
        </w:rPr>
        <w:t>ú</w:t>
      </w:r>
      <w:r w:rsidRPr="00DF128A">
        <w:rPr>
          <w:rFonts w:ascii="Times New Roman" w:hAnsi="Times New Roman" w:cs="Times New Roman"/>
          <w:sz w:val="24"/>
          <w:szCs w:val="24"/>
        </w:rPr>
        <w:t>zní přístup)</w:t>
      </w:r>
    </w:p>
    <w:p w:rsidR="00DF128A" w:rsidRPr="00DF128A" w:rsidRDefault="00DF128A" w:rsidP="00DF128A">
      <w:pPr>
        <w:pStyle w:val="Zkladntext"/>
        <w:widowControl w:val="0"/>
        <w:spacing w:after="0"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Amerikanizace je exportem amerického stylu kampaní skrze americké konzultanty v zahraničí, pozorování amerických kampaní, exportu myšlenek kampaně díky literatuře a celosvětové akceptaci USA jako nejdůležitějšího vzoru, jak mají kampaně probíhat. Pravý rozsah amerického vlivu je nemožné zjistit, protože strany často preferují utajení této skutečnosti v obavě, že je poškodí, pokud se voliči dozví, že jejich kampaň je vedena Američany (Plasser 2002: 16, Scammell 1997: 1). Amerikanizace je v tomto přístupu jednosměrný řízený konvergenční proces. Hlavní parametry kampaně a činnost aktérů se stává ve světě podobná situaci v USA, parametry jsou ale stále závislé na místních zákonných omezeních a situace místní volební soutěže.</w:t>
      </w:r>
    </w:p>
    <w:p w:rsidR="00DF128A" w:rsidRPr="00DF128A" w:rsidRDefault="00DF128A" w:rsidP="00F31E15">
      <w:pPr>
        <w:widowControl w:val="0"/>
        <w:numPr>
          <w:ilvl w:val="0"/>
          <w:numId w:val="14"/>
        </w:numPr>
        <w:tabs>
          <w:tab w:val="clear" w:pos="720"/>
          <w:tab w:val="num" w:pos="426"/>
        </w:tabs>
        <w:spacing w:line="276" w:lineRule="auto"/>
        <w:ind w:left="0" w:firstLine="0"/>
        <w:jc w:val="both"/>
        <w:rPr>
          <w:rFonts w:ascii="Times New Roman" w:hAnsi="Times New Roman" w:cs="Times New Roman"/>
          <w:sz w:val="24"/>
          <w:szCs w:val="24"/>
          <w:u w:val="single"/>
        </w:rPr>
      </w:pPr>
      <w:r w:rsidRPr="00DF128A">
        <w:rPr>
          <w:rFonts w:ascii="Times New Roman" w:hAnsi="Times New Roman" w:cs="Times New Roman"/>
          <w:sz w:val="24"/>
          <w:szCs w:val="24"/>
          <w:u w:val="single"/>
        </w:rPr>
        <w:t>amerikanizace není globalizací</w:t>
      </w:r>
    </w:p>
    <w:p w:rsidR="00DF128A" w:rsidRPr="00DF128A" w:rsidRDefault="00DF128A" w:rsidP="00DF128A">
      <w:pPr>
        <w:pStyle w:val="Zkladntext"/>
        <w:widowControl w:val="0"/>
        <w:spacing w:after="0"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Amerikanizace popisuje proces konvergence, ve kterém jsou řídícími vlivy vnitřní faktory. To je v současnosti dominantní pohled, zdůrazňuje různorodost, bohatství a sílu národních tradic a systémovou rezistenci k amerikanizaci. USA mají roli modelu, někdy i negativního, ale přímý vliv USA je menší než vliv vnitřních faktorů. Složení voličstva, stejně jako jeho kulturní návyky jsou odlišné než ve Spojených státech. Podstatné rozdíly vytváří také legislativa. Podíváme-li se na situaci zeširoka, nalezneme odlišnosti ve všech částech volebního trhu, patrně ale nalezneme také mnohé shody (Plasser 2002: 16). </w:t>
      </w:r>
    </w:p>
    <w:p w:rsidR="00DF128A" w:rsidRPr="00DF128A" w:rsidRDefault="00DF128A" w:rsidP="00F31E15">
      <w:pPr>
        <w:widowControl w:val="0"/>
        <w:numPr>
          <w:ilvl w:val="0"/>
          <w:numId w:val="14"/>
        </w:numPr>
        <w:tabs>
          <w:tab w:val="clear" w:pos="720"/>
          <w:tab w:val="num" w:pos="426"/>
        </w:tabs>
        <w:spacing w:line="276" w:lineRule="auto"/>
        <w:ind w:left="0" w:firstLine="0"/>
        <w:jc w:val="both"/>
        <w:rPr>
          <w:rFonts w:ascii="Times New Roman" w:hAnsi="Times New Roman" w:cs="Times New Roman"/>
          <w:sz w:val="24"/>
          <w:szCs w:val="24"/>
        </w:rPr>
      </w:pPr>
      <w:r w:rsidRPr="00DF128A">
        <w:rPr>
          <w:rFonts w:ascii="Times New Roman" w:hAnsi="Times New Roman" w:cs="Times New Roman"/>
          <w:sz w:val="24"/>
          <w:szCs w:val="24"/>
          <w:u w:val="single"/>
        </w:rPr>
        <w:t>amerikanizace je výsledkem modernizace</w:t>
      </w:r>
    </w:p>
    <w:p w:rsidR="00DF128A" w:rsidRPr="00DF128A" w:rsidRDefault="00DF128A" w:rsidP="00DF128A">
      <w:pPr>
        <w:pStyle w:val="Zkladntext"/>
        <w:widowControl w:val="0"/>
        <w:spacing w:after="0"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Amerikanizace je důsledek probíhající strukturální změny politiky, společnosti a mediálního systému. Fragmentace veřejné sféry vede k vyššímu stupni specializace a profesionalizace mezi aktéry. Amerikanizace je tak projevem vnější změny, hlavní rysy svých kampaní si jednotlivé země zachovávají. I podle této teorie je amerikanizace konvergenční proces, ale je neřízený, změny na makro úrovni (média, technologie, sociální struktura) vedou ke změnám na mikro úrovni (strany, kandidáti, novináři), změny pak modifikují tradiční styly a strategie politické komunikace, kulturní a kontextuálně specifické faktory určují reakci na změněné podmínky. Tento přístup je nejvíce diskutabilní. USA jsou obecně považovány za </w:t>
      </w:r>
      <w:r w:rsidRPr="00DF128A">
        <w:rPr>
          <w:rFonts w:ascii="Times New Roman" w:hAnsi="Times New Roman" w:cs="Times New Roman"/>
          <w:sz w:val="24"/>
          <w:szCs w:val="24"/>
        </w:rPr>
        <w:lastRenderedPageBreak/>
        <w:t>lídra v inovacích kampaní, historicky první se chopily vymožeností politického marketingu, ale to není v žádném případě nutný zdroj celosvětových trendů. Tento koncept je kritizován také z historického hlediska. Každá perioda masové politiky vždy nabízela ve srovnání s předchozími etapami modernizační tendence (Plasser 2002: 17, Scammell 1997: 3 - 4).</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Američané sami myšlenku amerikanizace spíše odmítají, kvůli imperialistickým konotacím a kvůli domácí kritice místního stylu kampaní, dle které jde o prázdný rituál či smyšlenou podívanou. Literatura směřuje k pohledu na tyto globální změny jako na především řízený rozvoj pramenící hlavně z masové komunikace, kolapsu velkých ideologických štěpících linií a slábnutí tradičních stranických a voličských identifikací. Existuje určitá shoda o stupni globalizace, méně pak o povaze a rozsahu amerického vlivu (Scammell 1997: 1, Schafferer: 5).</w:t>
      </w:r>
    </w:p>
    <w:p w:rsidR="008843BB" w:rsidRDefault="008843BB" w:rsidP="00B038A1">
      <w:pPr>
        <w:pStyle w:val="Nadpis1"/>
      </w:pPr>
    </w:p>
    <w:p w:rsidR="00DF128A" w:rsidRPr="00DF128A" w:rsidRDefault="00DF128A" w:rsidP="00B038A1">
      <w:pPr>
        <w:pStyle w:val="Nadpis1"/>
        <w:ind w:firstLine="0"/>
        <w:jc w:val="left"/>
      </w:pPr>
      <w:bookmarkStart w:id="49" w:name="_Toc301255452"/>
      <w:bookmarkStart w:id="50" w:name="_Toc331023977"/>
      <w:r w:rsidRPr="00DF128A">
        <w:t>Případové studie</w:t>
      </w:r>
      <w:bookmarkEnd w:id="49"/>
      <w:bookmarkEnd w:id="50"/>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Po představení přístupů k amerikanizaci a jejich ukazatelů se můžeme začít konkrétně věnovat případovým studiím konkrétních předvolebních kampaní. Budou popsány předvolební kampaně v USA, Brazílii, Švýcarsku, Polsku, JAR, Indii a Japonsku. V deskripci bude brán největší ohled na používané techniky, rozpočty, person</w:t>
      </w:r>
      <w:r w:rsidR="00BD5839">
        <w:rPr>
          <w:rFonts w:ascii="Times New Roman" w:hAnsi="Times New Roman" w:cs="Times New Roman"/>
          <w:sz w:val="24"/>
          <w:szCs w:val="24"/>
        </w:rPr>
        <w:t>á</w:t>
      </w:r>
      <w:r w:rsidRPr="00DF128A">
        <w:rPr>
          <w:rFonts w:ascii="Times New Roman" w:hAnsi="Times New Roman" w:cs="Times New Roman"/>
          <w:sz w:val="24"/>
          <w:szCs w:val="24"/>
        </w:rPr>
        <w:t>lie, zákon</w:t>
      </w:r>
      <w:r w:rsidR="00BD5839">
        <w:rPr>
          <w:rFonts w:ascii="Times New Roman" w:hAnsi="Times New Roman" w:cs="Times New Roman"/>
          <w:sz w:val="24"/>
          <w:szCs w:val="24"/>
        </w:rPr>
        <w:t>n</w:t>
      </w:r>
      <w:r w:rsidRPr="00DF128A">
        <w:rPr>
          <w:rFonts w:ascii="Times New Roman" w:hAnsi="Times New Roman" w:cs="Times New Roman"/>
          <w:sz w:val="24"/>
          <w:szCs w:val="24"/>
        </w:rPr>
        <w:t>á omezení a zhodnocení naplnění in</w:t>
      </w:r>
      <w:r w:rsidR="00BD5839">
        <w:rPr>
          <w:rFonts w:ascii="Times New Roman" w:hAnsi="Times New Roman" w:cs="Times New Roman"/>
          <w:sz w:val="24"/>
          <w:szCs w:val="24"/>
        </w:rPr>
        <w:t>d</w:t>
      </w:r>
      <w:r w:rsidRPr="00DF128A">
        <w:rPr>
          <w:rFonts w:ascii="Times New Roman" w:hAnsi="Times New Roman" w:cs="Times New Roman"/>
          <w:sz w:val="24"/>
          <w:szCs w:val="24"/>
        </w:rPr>
        <w:t>ikátorů. Výslednou podobu kampaně určují přede</w:t>
      </w:r>
      <w:r w:rsidR="00BD5839">
        <w:rPr>
          <w:rFonts w:ascii="Times New Roman" w:hAnsi="Times New Roman" w:cs="Times New Roman"/>
          <w:sz w:val="24"/>
          <w:szCs w:val="24"/>
        </w:rPr>
        <w:t>v</w:t>
      </w:r>
      <w:r w:rsidRPr="00DF128A">
        <w:rPr>
          <w:rFonts w:ascii="Times New Roman" w:hAnsi="Times New Roman" w:cs="Times New Roman"/>
          <w:sz w:val="24"/>
          <w:szCs w:val="24"/>
        </w:rPr>
        <w:t xml:space="preserve">ším podmínky dané země. Těmito faktory jsou především použitý volební systém, podoba stranického systému, legislativní omezení, mediální sféra, kultura a tradice a stupeň modernizace země (Plasser 2002: 79).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B038A1">
      <w:pPr>
        <w:pStyle w:val="Nadpis1"/>
        <w:ind w:firstLine="0"/>
        <w:jc w:val="left"/>
      </w:pPr>
      <w:bookmarkStart w:id="51" w:name="_Toc301255453"/>
      <w:bookmarkStart w:id="52" w:name="_Toc331023978"/>
      <w:r w:rsidRPr="00DF128A">
        <w:t>USA</w:t>
      </w:r>
      <w:bookmarkEnd w:id="51"/>
      <w:bookmarkEnd w:id="52"/>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V USA existuje velké množství volených funkcí. Federativní uspořádání a celá řada dalších úrovní spolu s počtem funkcí vytváří vhodné podmínky pro časté konání voleb. I díky četnosti voleb a možná i nemalému významu obsazovaných funkcí se kampaně mohly vyvinout do složité a propracované podoby přísně řízené marketingovými strategiemi. Základem pro propagaci kandidáta je televizní vysílání. Protože zde funguje velké množství televizních stanic a dohromady mají vysokou sledovanost, má reklama v tomto typu médií velký význam. Stranou nezůstávají ani tradiční formy propagace jako jsou billboardy, letáky a mítinky, které někdy vysílá i televize. Ze všech místních "vynálezů" je v současnosti nejvíce diskutovaná negativní kampaň. Za první výrazný počin v této oblasti je považován Johnosnův spot proti Goldwaterovi, ve kterém v očích malého děvčátka vybuchuje atomová bomba, k jejímuž odpálení vedlo Goldwaterovo válečné štváčství</w:t>
      </w:r>
      <w:r w:rsidRPr="00DF128A">
        <w:rPr>
          <w:rStyle w:val="Znakapoznpodarou"/>
          <w:rFonts w:ascii="Times New Roman" w:hAnsi="Times New Roman" w:cs="Times New Roman"/>
          <w:sz w:val="24"/>
          <w:szCs w:val="24"/>
        </w:rPr>
        <w:footnoteReference w:id="19"/>
      </w:r>
      <w:r w:rsidRPr="00DF128A">
        <w:rPr>
          <w:rFonts w:ascii="Times New Roman" w:hAnsi="Times New Roman" w:cs="Times New Roman"/>
          <w:sz w:val="24"/>
          <w:szCs w:val="24"/>
        </w:rPr>
        <w:t>.  S rozmachem internetu se pak objevuje celá řada inovací, jak ukázat na slabosti soupeře.</w:t>
      </w:r>
    </w:p>
    <w:p w:rsidR="00DF128A" w:rsidRPr="00DF128A" w:rsidRDefault="00DF128A" w:rsidP="00DF128A">
      <w:pPr>
        <w:pStyle w:val="Zkladntext"/>
        <w:widowControl w:val="0"/>
        <w:spacing w:after="0"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Co se naplnění indikátorů týče, naplňuje USA jako zdrojová země amerikanizace všechny body beze zbytku. Kampaně jsou vytvářeny odborníky předních marketingových firem</w:t>
      </w:r>
      <w:r w:rsidR="00BD5839">
        <w:rPr>
          <w:rFonts w:ascii="Times New Roman" w:hAnsi="Times New Roman" w:cs="Times New Roman"/>
          <w:sz w:val="24"/>
          <w:szCs w:val="24"/>
        </w:rPr>
        <w:t>,</w:t>
      </w:r>
      <w:r w:rsidRPr="00DF128A">
        <w:rPr>
          <w:rFonts w:ascii="Times New Roman" w:hAnsi="Times New Roman" w:cs="Times New Roman"/>
          <w:sz w:val="24"/>
          <w:szCs w:val="24"/>
        </w:rPr>
        <w:t xml:space="preserve"> jako jsou BBDO či PSB. Propagace složená z jednoduchých a cílených sděleních vymyšlených na základě preferencí voličů zjištěných předvolebními průzkumu se odehrává v televizi a nyní částečně také na internetu. I proto, že se zde ve většině voleb uplatňuje většinový systém, je hlavní důraz kladen na samotnou osobu kandidáta, který do kampaně zapojuje i svou rodinu, a až v druhé řadě na program. Rozpočty sahají do velkých výšek díky </w:t>
      </w:r>
      <w:r w:rsidRPr="00DF128A">
        <w:rPr>
          <w:rFonts w:ascii="Times New Roman" w:hAnsi="Times New Roman" w:cs="Times New Roman"/>
          <w:sz w:val="24"/>
          <w:szCs w:val="24"/>
        </w:rPr>
        <w:lastRenderedPageBreak/>
        <w:t>vícestupňovému financování pomocí stranických zdrojů a prostředků získaných výbory politické akce (Ranney 2004: 748-774).</w:t>
      </w:r>
    </w:p>
    <w:p w:rsidR="008843BB" w:rsidRDefault="008843BB" w:rsidP="008843BB">
      <w:pPr>
        <w:widowControl w:val="0"/>
        <w:spacing w:line="276" w:lineRule="auto"/>
        <w:jc w:val="both"/>
        <w:rPr>
          <w:rFonts w:ascii="Times New Roman" w:hAnsi="Times New Roman" w:cs="Times New Roman"/>
          <w:sz w:val="24"/>
          <w:szCs w:val="24"/>
        </w:rPr>
      </w:pPr>
    </w:p>
    <w:p w:rsidR="00DF128A" w:rsidRPr="008843BB" w:rsidRDefault="00DF128A" w:rsidP="008843BB">
      <w:pPr>
        <w:widowControl w:val="0"/>
        <w:spacing w:line="276" w:lineRule="auto"/>
        <w:jc w:val="both"/>
        <w:rPr>
          <w:rFonts w:ascii="Times New Roman" w:hAnsi="Times New Roman" w:cs="Times New Roman"/>
          <w:b/>
          <w:sz w:val="24"/>
          <w:szCs w:val="24"/>
        </w:rPr>
      </w:pPr>
      <w:r w:rsidRPr="008843BB">
        <w:rPr>
          <w:rFonts w:ascii="Times New Roman" w:hAnsi="Times New Roman" w:cs="Times New Roman"/>
          <w:b/>
          <w:sz w:val="24"/>
          <w:szCs w:val="24"/>
        </w:rPr>
        <w:t>Švýcarsko</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Tento alpský stát je se svým institucionálním uspořádáním světovou raritou. Silná role přímé demokracie, kvůli které stabilně působí jako vláda koalice 4 největších politických stran, určovala dlouhou dobu parlamentním volbám poměrně nízký význam (Hloušek 2005: 325 -341). Role voleb se zde ale postupně mění a mění se i nástroje, které jsou ve volbách používány. Opravdové volební kampaně se odehrávaly teprve před posledními a předposledními volbami. Jejich podoba ale naráží na řadu omezení. Protože jsou největší strany sdruženy v koalici, nemohou se proti sobě otevřeně a ostře vymezovat. Protože každé rozhodnutí vlády (vzešlé s parlamentu) může být zrušeno referendem, nelze lákat voliče na jasné cíle. Na druhou stranu se ale již rozpadla sloupová struktura stran a strany si svou podporu musí zajistit jinak. To se nejlépe daří SVP, která díky finančním zdrojům a neregulované mediální scéně (OBSE 2007: 6 -7) dokáže vést dynamickou kampaň. SVP si namísto politických konkurentů-spolupracovníků našla jiný cíl pro negativní kampaň - imigranty (swissinfo: Baeumont). Televize zde sice hraje významnou roli, podstatné jsou ale i jiné formy přímého marketingu, například dopisová kampaň (swissinfo: Lob). Zda se na úspěchu kampaně SVP nebo propagaci jiných stran podíleli američtí konzultanti, je obtížné zjistit. V případě SVP je to sice poměrně pravděpodobné, ale vzhledem k její tradicionalistické rétorice je dosti nepravděpodobné, že takovou informaci zveřejní. Nový prvkem v kampani a volbách je personalizace. Volební systém sice v úpravě kandidátních listin pamatoval na možnost voliče různě preferovat různé kandidáty (Havlík 2004: 116 - 118, Swissinfo: Raaflaub), ale voliči této možnosti dlouho nevyužívali. Zlom přišel před 4 lety s kandidaturou ideového lídra SVP Blochera a před letošními volbami prezentace individuálních kandidátů spotřebovala velkou část z 50 milionů švýcarských franků proinvestovaných všemi stranami během kampaní (swissinfo: Lob).</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8843BB" w:rsidRDefault="00DF128A" w:rsidP="008843BB">
      <w:pPr>
        <w:widowControl w:val="0"/>
        <w:spacing w:line="276" w:lineRule="auto"/>
        <w:jc w:val="both"/>
        <w:rPr>
          <w:rFonts w:ascii="Times New Roman" w:hAnsi="Times New Roman" w:cs="Times New Roman"/>
          <w:b/>
          <w:sz w:val="24"/>
          <w:szCs w:val="24"/>
        </w:rPr>
      </w:pPr>
      <w:r w:rsidRPr="008843BB">
        <w:rPr>
          <w:rFonts w:ascii="Times New Roman" w:hAnsi="Times New Roman" w:cs="Times New Roman"/>
          <w:b/>
          <w:sz w:val="24"/>
          <w:szCs w:val="24"/>
        </w:rPr>
        <w:t>Polsko</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Polské strany byly v postsovětském bloku první, které začaly využívat metod politického marketingu. Ještě ve volbách v roce 2001 by ale bylo hodnocení polské parlamentní kampaně poměrně ambivalentní. Millard (2003:371) ji označil za "</w:t>
      </w:r>
      <w:r w:rsidRPr="00DF128A">
        <w:rPr>
          <w:rFonts w:ascii="Times New Roman" w:hAnsi="Times New Roman" w:cs="Times New Roman"/>
          <w:i/>
          <w:iCs/>
          <w:sz w:val="24"/>
          <w:szCs w:val="24"/>
        </w:rPr>
        <w:t>matnou, zkoprnělou a ponurou, nudící voliče, unavující politiky</w:t>
      </w:r>
      <w:r w:rsidRPr="00DF128A">
        <w:rPr>
          <w:rFonts w:ascii="Times New Roman" w:hAnsi="Times New Roman" w:cs="Times New Roman"/>
          <w:sz w:val="24"/>
          <w:szCs w:val="24"/>
        </w:rPr>
        <w:t xml:space="preserve">". Na druhou stranu byly kampaně plné cílených až populistických hesel a dlouhotrvající, když otevřeně probíhala v podstatě celý poslední rok volebního období, zatímco na začátku 90. let trvala kampaň zhruba měsíc (Tworecki 1994: 180).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Spíše než na USA se polské strany a kandidáti orientují ve spolupráci na západoevropské země, především pak Francii. Dokladem budiž působení Jaquese Seguely v Kwasniewského prezidentských kampaních v letech 1995 a 2000. Po první nezdařeném pokusu o negativní kampaň v roce 2000, ve které byl k poškození protikandidáta využit obrázek papeže, jsou negativní sdělení dnes využívána častěji a lépe. Tomuto stylu </w:t>
      </w:r>
      <w:r w:rsidRPr="00DF128A">
        <w:rPr>
          <w:rFonts w:ascii="Times New Roman" w:hAnsi="Times New Roman" w:cs="Times New Roman"/>
          <w:sz w:val="24"/>
          <w:szCs w:val="24"/>
        </w:rPr>
        <w:lastRenderedPageBreak/>
        <w:t>napomáhají časté korupční skandály a problémy s komunistickou minulostí</w:t>
      </w:r>
      <w:r w:rsidRPr="00DF128A">
        <w:rPr>
          <w:rStyle w:val="Znakapoznpodarou"/>
          <w:rFonts w:ascii="Times New Roman" w:hAnsi="Times New Roman" w:cs="Times New Roman"/>
          <w:sz w:val="24"/>
          <w:szCs w:val="24"/>
        </w:rPr>
        <w:footnoteReference w:id="20"/>
      </w:r>
      <w:r w:rsidRPr="00DF128A">
        <w:rPr>
          <w:rFonts w:ascii="Times New Roman" w:hAnsi="Times New Roman" w:cs="Times New Roman"/>
          <w:sz w:val="24"/>
          <w:szCs w:val="24"/>
        </w:rPr>
        <w:t xml:space="preserve">, které se pro účel negativní inzerce velmi hodí. V TV reklamě, pro kterou mohou strany nakoupit i zvláštní vysílací čas, stále ale převládají positivní sdělení. Většímu rozmachu zabraňuje stanovený strop pro výdaje na kampaň (Plasser 2002: 96, 150). Toto omezení je "obcházeno" pomocí bezplatné reklamy, tedy účastí ve zpravodajských spotech, televizních diskusích a novinových stránkách, kam si tváře politických stran hledají nejrůznější cesty.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V Polsku nevolí všichni občané jen členy parlamentu, ale také prezidenta. Právě kampaně kandidátů do tohoto úřadu nejvíce nesou americké rysy. Kampaň není založená na programu, ale na image kandidáta. Ta je velkou měrou utvářena pomocí televizní reklamy a zpravodajství. Témata slouží jen jako vábnička pro média. Kandidáti se nejen snaží dostat svou tvář na obrazovky, ale zároveň také o to, aby se na ně nedostali protivníci. Například spot Krzaklewskiho napadající Kwasniewského se začal vysílat, když Kwasniewski zahájil týdenní zahraniční návštěvu (Millard 2002: 360) a nemohl se tedy okamžitě bránit. </w:t>
      </w:r>
    </w:p>
    <w:p w:rsidR="008843BB" w:rsidRDefault="008843BB" w:rsidP="008843BB">
      <w:pPr>
        <w:widowControl w:val="0"/>
        <w:spacing w:line="276" w:lineRule="auto"/>
        <w:jc w:val="both"/>
        <w:rPr>
          <w:rFonts w:ascii="Times New Roman" w:hAnsi="Times New Roman" w:cs="Times New Roman"/>
          <w:sz w:val="24"/>
          <w:szCs w:val="24"/>
        </w:rPr>
      </w:pPr>
    </w:p>
    <w:p w:rsidR="00DF128A" w:rsidRPr="008843BB" w:rsidRDefault="00DF128A" w:rsidP="008843BB">
      <w:pPr>
        <w:widowControl w:val="0"/>
        <w:spacing w:line="276" w:lineRule="auto"/>
        <w:jc w:val="both"/>
        <w:rPr>
          <w:rFonts w:ascii="Times New Roman" w:hAnsi="Times New Roman" w:cs="Times New Roman"/>
          <w:b/>
          <w:sz w:val="24"/>
          <w:szCs w:val="24"/>
        </w:rPr>
      </w:pPr>
      <w:r w:rsidRPr="008843BB">
        <w:rPr>
          <w:rFonts w:ascii="Times New Roman" w:hAnsi="Times New Roman" w:cs="Times New Roman"/>
          <w:b/>
          <w:sz w:val="24"/>
          <w:szCs w:val="24"/>
        </w:rPr>
        <w:t>Japonsko</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Japonsko ve volebním zákonu</w:t>
      </w:r>
      <w:r w:rsidRPr="00DF128A">
        <w:rPr>
          <w:rStyle w:val="Znakapoznpodarou"/>
          <w:rFonts w:ascii="Times New Roman" w:hAnsi="Times New Roman" w:cs="Times New Roman"/>
          <w:sz w:val="24"/>
          <w:szCs w:val="24"/>
        </w:rPr>
        <w:footnoteReference w:id="21"/>
      </w:r>
      <w:r w:rsidRPr="00DF128A">
        <w:rPr>
          <w:rFonts w:ascii="Times New Roman" w:hAnsi="Times New Roman" w:cs="Times New Roman"/>
          <w:sz w:val="24"/>
          <w:szCs w:val="24"/>
        </w:rPr>
        <w:t xml:space="preserve"> přijatém těsně po 2. světové válce a inovovaném v roce 1994 dalo velký důraz na individuální kandidáty a jejich kontakt s voličem, zakázalo kandidátům propagaci v masových médiích</w:t>
      </w:r>
      <w:r w:rsidRPr="00DF128A">
        <w:rPr>
          <w:rStyle w:val="Znakapoznpodarou"/>
          <w:rFonts w:ascii="Times New Roman" w:hAnsi="Times New Roman" w:cs="Times New Roman"/>
          <w:sz w:val="24"/>
          <w:szCs w:val="24"/>
        </w:rPr>
        <w:footnoteReference w:id="22"/>
      </w:r>
      <w:r w:rsidRPr="00DF128A">
        <w:rPr>
          <w:rFonts w:ascii="Times New Roman" w:hAnsi="Times New Roman" w:cs="Times New Roman"/>
          <w:sz w:val="24"/>
          <w:szCs w:val="24"/>
        </w:rPr>
        <w:t xml:space="preserve"> a zveřejňování žebříčků popularity a zavedlo smíšený volební systém. Reálně se kandidáti ve většinové složce neobracejí primárně na voliče, ale na podpůrné skupiny (koenkai), které jsou klíčem k úspěšné propagaci a volebnímu úspěchu.  Kandidáti tak více než kde jinde pořádají volební mítinky a pro svou propagaci třeba hodiny opakují své jméno do amplionu na zastávce metra (</w:t>
      </w:r>
      <w:r w:rsidRPr="00DF128A">
        <w:rPr>
          <w:rStyle w:val="title2"/>
          <w:rFonts w:ascii="Times New Roman" w:hAnsi="Times New Roman" w:cs="Times New Roman"/>
          <w:b w:val="0"/>
          <w:bCs w:val="0"/>
          <w:sz w:val="24"/>
          <w:szCs w:val="24"/>
        </w:rPr>
        <w:t>The Kawasaki Candidate</w:t>
      </w:r>
      <w:r w:rsidRPr="00DF128A">
        <w:rPr>
          <w:rFonts w:ascii="Times New Roman" w:hAnsi="Times New Roman" w:cs="Times New Roman"/>
          <w:sz w:val="24"/>
          <w:szCs w:val="24"/>
        </w:rPr>
        <w:t>). Z prvků americké kampaně lze zmínit například propracovaná a zároveň jednoduchá hesla na billboardech. Japonský styl reklamy je až přehnaně slušný, konfrontace by byla brána jako porušení místních hodnot. Zcela zakázány jsou i televizní politické debaty. Vést negativní kampaň mají zakázáno kandidáti i občané, kterým Nejvyšší soud dovolil participovat v kampani jen na podporu pro kandidáta. Naopak místním zvykem jsou stranické automobily vybavené amplionem, jezdící po ulicích volebního obvodu s apelem volit pro daného kandidáta.  Propagace běží do poslední možné chvíle a její intenzita je měněna s každým předvolebním průzkumem. Na druhou stranu kampaň v poměrné části voleb je poměrně rigidní, silně centralizovaná jen s malou regionální variabilitou (Plasser 2002: 82, 137 - 141, 191). Celá kampaň odráží místní pohled na kampaň, která není součástí individuálních práv, ale především otázkou fair play (Takahasi 1990: 192).</w:t>
      </w:r>
    </w:p>
    <w:p w:rsidR="008843BB" w:rsidRDefault="008843BB" w:rsidP="008843BB">
      <w:pPr>
        <w:widowControl w:val="0"/>
        <w:spacing w:line="276" w:lineRule="auto"/>
        <w:jc w:val="both"/>
        <w:rPr>
          <w:rFonts w:ascii="Times New Roman" w:hAnsi="Times New Roman" w:cs="Times New Roman"/>
          <w:sz w:val="24"/>
          <w:szCs w:val="24"/>
        </w:rPr>
      </w:pPr>
    </w:p>
    <w:p w:rsidR="00DF128A" w:rsidRPr="008843BB" w:rsidRDefault="00DF128A" w:rsidP="008843BB">
      <w:pPr>
        <w:widowControl w:val="0"/>
        <w:spacing w:line="276" w:lineRule="auto"/>
        <w:jc w:val="both"/>
        <w:rPr>
          <w:rFonts w:ascii="Times New Roman" w:hAnsi="Times New Roman" w:cs="Times New Roman"/>
          <w:b/>
          <w:sz w:val="24"/>
          <w:szCs w:val="24"/>
        </w:rPr>
      </w:pPr>
      <w:r w:rsidRPr="008843BB">
        <w:rPr>
          <w:rFonts w:ascii="Times New Roman" w:hAnsi="Times New Roman" w:cs="Times New Roman"/>
          <w:b/>
          <w:sz w:val="24"/>
          <w:szCs w:val="24"/>
        </w:rPr>
        <w:t>Jihoafrická republika</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Jihoafrická republika je kromě USA a Velké Británie ovlivňována především Švédskem</w:t>
      </w:r>
      <w:r w:rsidRPr="00DF128A">
        <w:rPr>
          <w:rStyle w:val="Znakapoznpodarou"/>
          <w:rFonts w:ascii="Times New Roman" w:hAnsi="Times New Roman" w:cs="Times New Roman"/>
          <w:sz w:val="24"/>
          <w:szCs w:val="24"/>
        </w:rPr>
        <w:footnoteReference w:id="23"/>
      </w:r>
      <w:r w:rsidRPr="00DF128A">
        <w:rPr>
          <w:rFonts w:ascii="Times New Roman" w:hAnsi="Times New Roman" w:cs="Times New Roman"/>
          <w:sz w:val="24"/>
          <w:szCs w:val="24"/>
        </w:rPr>
        <w:t xml:space="preserve">. Demokratické volby se zde konají teprve od roku 1994 poměrným volebním </w:t>
      </w:r>
      <w:r w:rsidRPr="00DF128A">
        <w:rPr>
          <w:rFonts w:ascii="Times New Roman" w:hAnsi="Times New Roman" w:cs="Times New Roman"/>
          <w:sz w:val="24"/>
          <w:szCs w:val="24"/>
        </w:rPr>
        <w:lastRenderedPageBreak/>
        <w:t>systémem a kampaň je tak orientovaná na strany</w:t>
      </w:r>
      <w:r w:rsidRPr="00DF128A">
        <w:rPr>
          <w:rStyle w:val="Znakapoznpodarou"/>
          <w:rFonts w:ascii="Times New Roman" w:hAnsi="Times New Roman" w:cs="Times New Roman"/>
          <w:sz w:val="24"/>
          <w:szCs w:val="24"/>
        </w:rPr>
        <w:footnoteReference w:id="24"/>
      </w:r>
      <w:r w:rsidRPr="00DF128A">
        <w:rPr>
          <w:rFonts w:ascii="Times New Roman" w:hAnsi="Times New Roman" w:cs="Times New Roman"/>
          <w:sz w:val="24"/>
          <w:szCs w:val="24"/>
        </w:rPr>
        <w:t xml:space="preserve"> a stranami (bez konzultantů) také vytvářena. Možnosti mediálních strategií jsou omezeny legislativními podmínkami (Plasser 2002: 98), posledních 6 týdnů před volbami pak nelze zveřejňovat průzkumy veřejného mínění. Dominantními médii kampaně jsou rádio a mítinky. Výsledná kampaň je pak kombinací tištěné reklamy, plakátů a turné stranických lídrů. To vše zabralo před volbami v roce 2004 celé dva měsíce (Lemon 2005:320). Strany musí ve své činnosti velmi opatrně pracovat s nárosnostním složením země. Na druhou stranu kampaně obsahují mnoho chyb (Lemon 2001: 332). Nejsou příliš profesionalizované, nepřesně zacílení a mediální strategie bývají zanedbané. Někteří autoři označují místní situaci za kampaň z prvního světa pro přesvědčení voličů z třetího světa (Plasser 2002: 191, 249, 280).</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8843BB" w:rsidRDefault="00DF128A" w:rsidP="008843BB">
      <w:pPr>
        <w:widowControl w:val="0"/>
        <w:spacing w:line="276" w:lineRule="auto"/>
        <w:jc w:val="both"/>
        <w:rPr>
          <w:rFonts w:ascii="Times New Roman" w:hAnsi="Times New Roman" w:cs="Times New Roman"/>
          <w:b/>
          <w:sz w:val="24"/>
          <w:szCs w:val="24"/>
        </w:rPr>
      </w:pPr>
      <w:r w:rsidRPr="008843BB">
        <w:rPr>
          <w:rFonts w:ascii="Times New Roman" w:hAnsi="Times New Roman" w:cs="Times New Roman"/>
          <w:b/>
          <w:sz w:val="24"/>
          <w:szCs w:val="24"/>
        </w:rPr>
        <w:t>Indie</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Tvůrci kampaní v Indii se distancují od amerických vlivů a snaží se vytvářet kampaně na základě místního know-how. Pokud přiznají cizí vlivy, pak mluví především o Velké Británii a Latinské Americe. Tradiční formy mobilizace, především předvolební shromáždění, ale jen těžko odolávají rozmachu medií a změnám uvnitř indického elektorátu. Jejich udržení napomáhají především striktní legislativní omezení. Jsou stanoveny stropy výdajů v jednotlivých obvodech, přesto místní kampaně patří mezi finančně nejnáročnější. Kromě mítinků a letáků produkují kandidáti vlastní filmy a dárkové předměty jako hrnky a trička. Hlavním nástrojem je tisk, v městských obvodech jde o noviny, ve venkovských o obrázkové plakáty. Strany i přesto, že jsou na celostátní úrovní často spíše konglomerátem regionálních formací, produkují pro volby jednoduchá sjednocující hesla. (Plasser 2002: 98, 164, 191, 279-80, Spray - Wyatt 2005).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8843BB" w:rsidRDefault="00DF128A" w:rsidP="008843BB">
      <w:pPr>
        <w:widowControl w:val="0"/>
        <w:spacing w:line="276" w:lineRule="auto"/>
        <w:jc w:val="both"/>
        <w:rPr>
          <w:rFonts w:ascii="Times New Roman" w:hAnsi="Times New Roman" w:cs="Times New Roman"/>
          <w:b/>
          <w:sz w:val="24"/>
          <w:szCs w:val="24"/>
        </w:rPr>
      </w:pPr>
      <w:r w:rsidRPr="008843BB">
        <w:rPr>
          <w:rFonts w:ascii="Times New Roman" w:hAnsi="Times New Roman" w:cs="Times New Roman"/>
          <w:b/>
          <w:sz w:val="24"/>
          <w:szCs w:val="24"/>
        </w:rPr>
        <w:t>Brazílie</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V místní kampani existují některá omezení, především v mediální sféře. TV reklamu</w:t>
      </w:r>
      <w:r w:rsidRPr="00DF128A">
        <w:rPr>
          <w:rStyle w:val="Znakapoznpodarou"/>
          <w:rFonts w:ascii="Times New Roman" w:hAnsi="Times New Roman" w:cs="Times New Roman"/>
          <w:sz w:val="24"/>
          <w:szCs w:val="24"/>
        </w:rPr>
        <w:footnoteReference w:id="25"/>
      </w:r>
      <w:r w:rsidRPr="00DF128A">
        <w:rPr>
          <w:rFonts w:ascii="Times New Roman" w:hAnsi="Times New Roman" w:cs="Times New Roman"/>
          <w:sz w:val="24"/>
          <w:szCs w:val="24"/>
        </w:rPr>
        <w:t xml:space="preserve"> je možné vysílat pouze v určený čas na veřejnoprávních stanicích. Televize se dělí o roli dominantního nástroje kampaně s mítinky. Ovšem média mají i v tomto vztahu navrch (</w:t>
      </w:r>
      <w:r w:rsidRPr="00DF128A">
        <w:rPr>
          <w:rStyle w:val="Zvraznn"/>
          <w:rFonts w:ascii="Times New Roman" w:hAnsi="Times New Roman" w:cs="Times New Roman"/>
          <w:i w:val="0"/>
          <w:iCs w:val="0"/>
          <w:sz w:val="24"/>
          <w:szCs w:val="24"/>
        </w:rPr>
        <w:t>Petras - Vieux</w:t>
      </w:r>
      <w:r w:rsidRPr="00DF128A">
        <w:rPr>
          <w:rFonts w:ascii="Times New Roman" w:hAnsi="Times New Roman" w:cs="Times New Roman"/>
          <w:sz w:val="24"/>
          <w:szCs w:val="24"/>
        </w:rPr>
        <w:t xml:space="preserve">). Zákonem je omezena také možnost používat negativních sdělení. Ty proto produkuje spíše zpravodajství privátních deníků, které se zapojují, ale ne otevřeně, na vybrané straně do kampaně. Financování je striktně z veřejných zdrojů, v prezidentských volbách nemůže kandidát vytvářet fondy, kampaň je povolena je v určeném období a v týdnu před volbami nesmí být zveřejněn žádný průzkum veřejného mínění. Profesionalizaci kampaní pomohl vznik dvou organizací Asociace politických konzultantů a Nadace Konrada Adenaura (v Argentině) a dřívější časté působení amerických konzultantů. (Plasser 2002: 149, 188, 255)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E20A69" w:rsidRDefault="00E20A69">
      <w:pPr>
        <w:rPr>
          <w:rFonts w:ascii="Times New Roman" w:hAnsi="Times New Roman" w:cs="Times New Roman"/>
          <w:sz w:val="24"/>
          <w:szCs w:val="24"/>
        </w:rPr>
      </w:pPr>
      <w:r>
        <w:rPr>
          <w:rFonts w:ascii="Times New Roman" w:hAnsi="Times New Roman" w:cs="Times New Roman"/>
          <w:sz w:val="24"/>
          <w:szCs w:val="24"/>
        </w:rPr>
        <w:br w:type="page"/>
      </w:r>
    </w:p>
    <w:p w:rsidR="00DF128A" w:rsidRPr="00DF128A" w:rsidRDefault="00DF128A" w:rsidP="008843BB">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lastRenderedPageBreak/>
        <w:t>Tab. 1: naplnění zvolených indikátorů</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770"/>
        <w:gridCol w:w="900"/>
        <w:gridCol w:w="1080"/>
        <w:gridCol w:w="1186"/>
        <w:gridCol w:w="794"/>
        <w:gridCol w:w="720"/>
        <w:gridCol w:w="728"/>
        <w:gridCol w:w="1034"/>
      </w:tblGrid>
      <w:tr w:rsidR="00DF128A" w:rsidRPr="00DF128A" w:rsidTr="00DF128A">
        <w:tc>
          <w:tcPr>
            <w:tcW w:w="2770" w:type="dxa"/>
          </w:tcPr>
          <w:p w:rsidR="00DF128A" w:rsidRPr="008843BB" w:rsidRDefault="00DF128A" w:rsidP="008843BB">
            <w:pPr>
              <w:widowControl w:val="0"/>
              <w:spacing w:line="276" w:lineRule="auto"/>
              <w:jc w:val="both"/>
              <w:rPr>
                <w:rFonts w:cstheme="minorHAnsi"/>
                <w:sz w:val="20"/>
                <w:szCs w:val="20"/>
              </w:rPr>
            </w:pPr>
          </w:p>
        </w:tc>
        <w:tc>
          <w:tcPr>
            <w:tcW w:w="900"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USA</w:t>
            </w:r>
          </w:p>
        </w:tc>
        <w:tc>
          <w:tcPr>
            <w:tcW w:w="1080"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Brazílie</w:t>
            </w:r>
          </w:p>
        </w:tc>
        <w:tc>
          <w:tcPr>
            <w:tcW w:w="1186"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Švýcarsko</w:t>
            </w:r>
          </w:p>
        </w:tc>
        <w:tc>
          <w:tcPr>
            <w:tcW w:w="794"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Polsko</w:t>
            </w:r>
          </w:p>
        </w:tc>
        <w:tc>
          <w:tcPr>
            <w:tcW w:w="720"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JAR</w:t>
            </w:r>
          </w:p>
        </w:tc>
        <w:tc>
          <w:tcPr>
            <w:tcW w:w="728"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Indie</w:t>
            </w:r>
          </w:p>
        </w:tc>
        <w:tc>
          <w:tcPr>
            <w:tcW w:w="1034"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Japonsko</w:t>
            </w:r>
          </w:p>
        </w:tc>
      </w:tr>
      <w:tr w:rsidR="00DF128A" w:rsidRPr="00DF128A" w:rsidTr="00DF128A">
        <w:tc>
          <w:tcPr>
            <w:tcW w:w="2770"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američtí konzultanti</w:t>
            </w:r>
          </w:p>
        </w:tc>
        <w:tc>
          <w:tcPr>
            <w:tcW w:w="900"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ano</w:t>
            </w:r>
          </w:p>
        </w:tc>
        <w:tc>
          <w:tcPr>
            <w:tcW w:w="1080"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ano</w:t>
            </w:r>
          </w:p>
        </w:tc>
        <w:tc>
          <w:tcPr>
            <w:tcW w:w="1186"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w:t>
            </w:r>
          </w:p>
        </w:tc>
        <w:tc>
          <w:tcPr>
            <w:tcW w:w="794"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zahr</w:t>
            </w:r>
          </w:p>
        </w:tc>
        <w:tc>
          <w:tcPr>
            <w:tcW w:w="720"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ano</w:t>
            </w:r>
          </w:p>
        </w:tc>
        <w:tc>
          <w:tcPr>
            <w:tcW w:w="728"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ne</w:t>
            </w:r>
          </w:p>
        </w:tc>
        <w:tc>
          <w:tcPr>
            <w:tcW w:w="1034"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ne</w:t>
            </w:r>
          </w:p>
        </w:tc>
      </w:tr>
      <w:tr w:rsidR="00DF128A" w:rsidRPr="00DF128A" w:rsidTr="00DF128A">
        <w:tc>
          <w:tcPr>
            <w:tcW w:w="2770"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podíl tv reklamy</w:t>
            </w:r>
          </w:p>
        </w:tc>
        <w:tc>
          <w:tcPr>
            <w:tcW w:w="900"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ano</w:t>
            </w:r>
          </w:p>
        </w:tc>
        <w:tc>
          <w:tcPr>
            <w:tcW w:w="1080"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ano</w:t>
            </w:r>
          </w:p>
        </w:tc>
        <w:tc>
          <w:tcPr>
            <w:tcW w:w="1186"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ano</w:t>
            </w:r>
          </w:p>
        </w:tc>
        <w:tc>
          <w:tcPr>
            <w:tcW w:w="794"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ano</w:t>
            </w:r>
          </w:p>
        </w:tc>
        <w:tc>
          <w:tcPr>
            <w:tcW w:w="720"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ne</w:t>
            </w:r>
          </w:p>
        </w:tc>
        <w:tc>
          <w:tcPr>
            <w:tcW w:w="728"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ano</w:t>
            </w:r>
          </w:p>
        </w:tc>
        <w:tc>
          <w:tcPr>
            <w:tcW w:w="1034"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 xml:space="preserve">ano i ne </w:t>
            </w:r>
          </w:p>
        </w:tc>
      </w:tr>
      <w:tr w:rsidR="00DF128A" w:rsidRPr="00DF128A" w:rsidTr="00DF128A">
        <w:tc>
          <w:tcPr>
            <w:tcW w:w="2770"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negativní reklama</w:t>
            </w:r>
          </w:p>
        </w:tc>
        <w:tc>
          <w:tcPr>
            <w:tcW w:w="900"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ano</w:t>
            </w:r>
          </w:p>
        </w:tc>
        <w:tc>
          <w:tcPr>
            <w:tcW w:w="1080"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ano</w:t>
            </w:r>
          </w:p>
        </w:tc>
        <w:tc>
          <w:tcPr>
            <w:tcW w:w="1186"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ne</w:t>
            </w:r>
          </w:p>
        </w:tc>
        <w:tc>
          <w:tcPr>
            <w:tcW w:w="794"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ano</w:t>
            </w:r>
          </w:p>
        </w:tc>
        <w:tc>
          <w:tcPr>
            <w:tcW w:w="720"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ano</w:t>
            </w:r>
          </w:p>
        </w:tc>
        <w:tc>
          <w:tcPr>
            <w:tcW w:w="728"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ano</w:t>
            </w:r>
          </w:p>
        </w:tc>
        <w:tc>
          <w:tcPr>
            <w:tcW w:w="1034"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ne</w:t>
            </w:r>
          </w:p>
        </w:tc>
      </w:tr>
      <w:tr w:rsidR="00DF128A" w:rsidRPr="00DF128A" w:rsidTr="00DF128A">
        <w:tc>
          <w:tcPr>
            <w:tcW w:w="2770"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jednoduchá sdělení</w:t>
            </w:r>
          </w:p>
        </w:tc>
        <w:tc>
          <w:tcPr>
            <w:tcW w:w="900"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ano</w:t>
            </w:r>
          </w:p>
        </w:tc>
        <w:tc>
          <w:tcPr>
            <w:tcW w:w="1080"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ano</w:t>
            </w:r>
          </w:p>
        </w:tc>
        <w:tc>
          <w:tcPr>
            <w:tcW w:w="1186"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ne</w:t>
            </w:r>
          </w:p>
        </w:tc>
        <w:tc>
          <w:tcPr>
            <w:tcW w:w="794"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ano</w:t>
            </w:r>
          </w:p>
        </w:tc>
        <w:tc>
          <w:tcPr>
            <w:tcW w:w="720"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ano</w:t>
            </w:r>
          </w:p>
        </w:tc>
        <w:tc>
          <w:tcPr>
            <w:tcW w:w="728"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ano</w:t>
            </w:r>
          </w:p>
        </w:tc>
        <w:tc>
          <w:tcPr>
            <w:tcW w:w="1034"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ano</w:t>
            </w:r>
          </w:p>
        </w:tc>
      </w:tr>
      <w:tr w:rsidR="00DF128A" w:rsidRPr="00DF128A" w:rsidTr="00DF128A">
        <w:tc>
          <w:tcPr>
            <w:tcW w:w="2770"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předvolební průzkumy</w:t>
            </w:r>
          </w:p>
        </w:tc>
        <w:tc>
          <w:tcPr>
            <w:tcW w:w="900"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ano</w:t>
            </w:r>
          </w:p>
        </w:tc>
        <w:tc>
          <w:tcPr>
            <w:tcW w:w="1080"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ano</w:t>
            </w:r>
          </w:p>
        </w:tc>
        <w:tc>
          <w:tcPr>
            <w:tcW w:w="1186"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ano</w:t>
            </w:r>
          </w:p>
        </w:tc>
        <w:tc>
          <w:tcPr>
            <w:tcW w:w="794"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ano</w:t>
            </w:r>
          </w:p>
        </w:tc>
        <w:tc>
          <w:tcPr>
            <w:tcW w:w="720"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ano</w:t>
            </w:r>
          </w:p>
        </w:tc>
        <w:tc>
          <w:tcPr>
            <w:tcW w:w="728"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ano</w:t>
            </w:r>
          </w:p>
        </w:tc>
        <w:tc>
          <w:tcPr>
            <w:tcW w:w="1034"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ano</w:t>
            </w:r>
          </w:p>
        </w:tc>
      </w:tr>
      <w:tr w:rsidR="00DF128A" w:rsidRPr="00DF128A" w:rsidTr="00DF128A">
        <w:tc>
          <w:tcPr>
            <w:tcW w:w="2770"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personalizace</w:t>
            </w:r>
          </w:p>
        </w:tc>
        <w:tc>
          <w:tcPr>
            <w:tcW w:w="900"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ano</w:t>
            </w:r>
          </w:p>
        </w:tc>
        <w:tc>
          <w:tcPr>
            <w:tcW w:w="1080"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ano</w:t>
            </w:r>
          </w:p>
        </w:tc>
        <w:tc>
          <w:tcPr>
            <w:tcW w:w="1186"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ano</w:t>
            </w:r>
          </w:p>
        </w:tc>
        <w:tc>
          <w:tcPr>
            <w:tcW w:w="794"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ne</w:t>
            </w:r>
          </w:p>
        </w:tc>
        <w:tc>
          <w:tcPr>
            <w:tcW w:w="720" w:type="dxa"/>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ano</w:t>
            </w:r>
          </w:p>
        </w:tc>
        <w:tc>
          <w:tcPr>
            <w:tcW w:w="728"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ano</w:t>
            </w:r>
          </w:p>
        </w:tc>
        <w:tc>
          <w:tcPr>
            <w:tcW w:w="1034" w:type="dxa"/>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ano</w:t>
            </w:r>
          </w:p>
        </w:tc>
      </w:tr>
    </w:tbl>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8843BB">
      <w:pPr>
        <w:widowControl w:val="0"/>
        <w:spacing w:line="276" w:lineRule="auto"/>
        <w:jc w:val="both"/>
        <w:rPr>
          <w:rFonts w:ascii="Times New Roman" w:hAnsi="Times New Roman" w:cs="Times New Roman"/>
          <w:sz w:val="24"/>
          <w:szCs w:val="24"/>
        </w:rPr>
      </w:pPr>
      <w:r w:rsidRPr="00DF128A">
        <w:rPr>
          <w:rFonts w:ascii="Times New Roman" w:hAnsi="Times New Roman" w:cs="Times New Roman"/>
          <w:noProof/>
          <w:sz w:val="24"/>
          <w:szCs w:val="24"/>
          <w:lang w:eastAsia="cs-CZ"/>
        </w:rPr>
        <w:drawing>
          <wp:inline distT="0" distB="0" distL="0" distR="0" wp14:anchorId="2ECA9495" wp14:editId="2CB2ECA6">
            <wp:extent cx="5762625" cy="367665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2625" cy="3676650"/>
                    </a:xfrm>
                    <a:prstGeom prst="rect">
                      <a:avLst/>
                    </a:prstGeom>
                    <a:noFill/>
                    <a:ln>
                      <a:noFill/>
                    </a:ln>
                  </pic:spPr>
                </pic:pic>
              </a:graphicData>
            </a:graphic>
          </wp:inline>
        </w:drawing>
      </w:r>
    </w:p>
    <w:p w:rsidR="00DF128A" w:rsidRPr="00DF128A" w:rsidRDefault="00DF128A" w:rsidP="008843BB">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obr. 2: spolupráce mezi tvůrci kampaní</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8843BB" w:rsidRDefault="00DF128A" w:rsidP="008843BB">
      <w:pPr>
        <w:widowControl w:val="0"/>
        <w:spacing w:line="276" w:lineRule="auto"/>
        <w:jc w:val="both"/>
        <w:rPr>
          <w:rFonts w:ascii="Times New Roman" w:hAnsi="Times New Roman" w:cs="Times New Roman"/>
          <w:b/>
          <w:sz w:val="24"/>
          <w:szCs w:val="24"/>
        </w:rPr>
      </w:pPr>
      <w:r w:rsidRPr="008843BB">
        <w:rPr>
          <w:rFonts w:ascii="Times New Roman" w:hAnsi="Times New Roman" w:cs="Times New Roman"/>
          <w:b/>
          <w:sz w:val="24"/>
          <w:szCs w:val="24"/>
        </w:rPr>
        <w:t>Závěr</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Zjištěné informace ukazují na existenci procesu, kterým se kampaně v různých zemích v různých částech světa stávají podobnými. Vzhledem k tomu, že základní informace pocházejí z literatury a jiných zdrojů, které nemají úplně jasno, jaké jsou řídící vlivy amerikanizace, tak ani tato práce nedokáže na tuto otázku odpovědět a vlastně to nebylo ani jejím cílem. Tím bylo zjistit, zda globalizace v této sféře probíhá, a ze zjištěných informací lze říci, že ve sledovaných zemích jsou kampaně v mnoha ohledech velmi podobné, i když v některých případech naráží na legislativní a kulturní omezení. Výsledky nelze ale vztahovat celoplošně na celý svět, neboť do vzorku nebyly zahrnuty země s jinou než demokratickou formou vlády a mezi vybranými zeměmi mohla chybět celá řada odlišných případů. Pokud příjmeme data poskytnutá jinými autory v dřívějších výzkumech (viz Plasser 2002: 244), lze provést zobecnění v globálním měřítku tvrzením, že globalizace se týká volebních kampaní v demokratických zemích celosvětově. Globalizace je věcí především používaných technik, obsah zůstává vázán na partikulární a místní témata. Výsledné rozdíly jsou patrné především </w:t>
      </w:r>
      <w:r w:rsidRPr="00DF128A">
        <w:rPr>
          <w:rFonts w:ascii="Times New Roman" w:hAnsi="Times New Roman" w:cs="Times New Roman"/>
          <w:sz w:val="24"/>
          <w:szCs w:val="24"/>
        </w:rPr>
        <w:lastRenderedPageBreak/>
        <w:t xml:space="preserve">mezi kontinenty.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5658B9" w:rsidRDefault="005658B9" w:rsidP="008843BB">
      <w:pPr>
        <w:widowControl w:val="0"/>
        <w:spacing w:line="276" w:lineRule="auto"/>
        <w:jc w:val="both"/>
        <w:rPr>
          <w:rFonts w:ascii="Times New Roman" w:hAnsi="Times New Roman" w:cs="Times New Roman"/>
          <w:b/>
          <w:sz w:val="24"/>
          <w:szCs w:val="24"/>
        </w:rPr>
      </w:pPr>
      <w:r w:rsidRPr="005658B9">
        <w:rPr>
          <w:rFonts w:ascii="Times New Roman" w:hAnsi="Times New Roman" w:cs="Times New Roman"/>
          <w:b/>
          <w:sz w:val="24"/>
          <w:szCs w:val="24"/>
        </w:rPr>
        <w:t>LITERATURA A ZDROJE:</w:t>
      </w:r>
      <w:r w:rsidR="00DF128A" w:rsidRPr="005658B9">
        <w:rPr>
          <w:rFonts w:ascii="Times New Roman" w:hAnsi="Times New Roman" w:cs="Times New Roman"/>
          <w:b/>
          <w:sz w:val="24"/>
          <w:szCs w:val="24"/>
        </w:rPr>
        <w:t xml:space="preserve"> </w:t>
      </w:r>
    </w:p>
    <w:p w:rsidR="00DF128A" w:rsidRPr="005658B9" w:rsidRDefault="00DF128A" w:rsidP="00F31E15">
      <w:pPr>
        <w:widowControl w:val="0"/>
        <w:spacing w:after="120" w:line="276" w:lineRule="auto"/>
        <w:jc w:val="both"/>
        <w:rPr>
          <w:rFonts w:ascii="Times New Roman" w:hAnsi="Times New Roman" w:cs="Times New Roman"/>
          <w:iCs/>
          <w:sz w:val="20"/>
          <w:szCs w:val="20"/>
        </w:rPr>
      </w:pPr>
      <w:r w:rsidRPr="005658B9">
        <w:rPr>
          <w:rFonts w:ascii="Times New Roman" w:hAnsi="Times New Roman" w:cs="Times New Roman"/>
          <w:iCs/>
          <w:sz w:val="20"/>
          <w:szCs w:val="20"/>
        </w:rPr>
        <w:t>H</w:t>
      </w:r>
      <w:r w:rsidR="00F31E15" w:rsidRPr="005658B9">
        <w:rPr>
          <w:rFonts w:ascii="Times New Roman" w:hAnsi="Times New Roman" w:cs="Times New Roman"/>
          <w:iCs/>
          <w:sz w:val="20"/>
          <w:szCs w:val="20"/>
        </w:rPr>
        <w:t>avlík</w:t>
      </w:r>
      <w:r w:rsidRPr="005658B9">
        <w:rPr>
          <w:rFonts w:ascii="Times New Roman" w:hAnsi="Times New Roman" w:cs="Times New Roman"/>
          <w:iCs/>
          <w:sz w:val="20"/>
          <w:szCs w:val="20"/>
        </w:rPr>
        <w:t>, V. a kol.</w:t>
      </w:r>
      <w:r w:rsidR="00F31E15" w:rsidRPr="005658B9">
        <w:rPr>
          <w:rFonts w:ascii="Times New Roman" w:hAnsi="Times New Roman" w:cs="Times New Roman"/>
          <w:iCs/>
          <w:sz w:val="20"/>
          <w:szCs w:val="20"/>
        </w:rPr>
        <w:t xml:space="preserve"> (2004):</w:t>
      </w:r>
      <w:r w:rsidRPr="005658B9">
        <w:rPr>
          <w:rFonts w:ascii="Times New Roman" w:hAnsi="Times New Roman" w:cs="Times New Roman"/>
          <w:iCs/>
          <w:sz w:val="20"/>
          <w:szCs w:val="20"/>
        </w:rPr>
        <w:t xml:space="preserve"> </w:t>
      </w:r>
      <w:r w:rsidRPr="005658B9">
        <w:rPr>
          <w:rFonts w:ascii="Times New Roman" w:hAnsi="Times New Roman" w:cs="Times New Roman"/>
          <w:i/>
          <w:iCs/>
          <w:sz w:val="20"/>
          <w:szCs w:val="20"/>
        </w:rPr>
        <w:t>Systémy poměrného zastoupení</w:t>
      </w:r>
      <w:r w:rsidRPr="005658B9">
        <w:rPr>
          <w:rFonts w:ascii="Times New Roman" w:hAnsi="Times New Roman" w:cs="Times New Roman"/>
          <w:iCs/>
          <w:sz w:val="20"/>
          <w:szCs w:val="20"/>
        </w:rPr>
        <w:t xml:space="preserve">. </w:t>
      </w:r>
      <w:r w:rsidR="00F31E15" w:rsidRPr="005658B9">
        <w:rPr>
          <w:rFonts w:ascii="Times New Roman" w:hAnsi="Times New Roman" w:cs="Times New Roman"/>
          <w:iCs/>
          <w:sz w:val="20"/>
          <w:szCs w:val="20"/>
        </w:rPr>
        <w:t>I</w:t>
      </w:r>
      <w:r w:rsidR="00AE11BD" w:rsidRPr="005658B9">
        <w:rPr>
          <w:rFonts w:ascii="Times New Roman" w:hAnsi="Times New Roman" w:cs="Times New Roman"/>
          <w:iCs/>
          <w:sz w:val="20"/>
          <w:szCs w:val="20"/>
        </w:rPr>
        <w:t>n Chytilek</w:t>
      </w:r>
      <w:r w:rsidRPr="005658B9">
        <w:rPr>
          <w:rFonts w:ascii="Times New Roman" w:hAnsi="Times New Roman" w:cs="Times New Roman"/>
          <w:iCs/>
          <w:sz w:val="20"/>
          <w:szCs w:val="20"/>
        </w:rPr>
        <w:t>, R., Š</w:t>
      </w:r>
      <w:r w:rsidR="00AE11BD" w:rsidRPr="005658B9">
        <w:rPr>
          <w:rFonts w:ascii="Times New Roman" w:hAnsi="Times New Roman" w:cs="Times New Roman"/>
          <w:iCs/>
          <w:sz w:val="20"/>
          <w:szCs w:val="20"/>
        </w:rPr>
        <w:t>edo</w:t>
      </w:r>
      <w:r w:rsidRPr="005658B9">
        <w:rPr>
          <w:rFonts w:ascii="Times New Roman" w:hAnsi="Times New Roman" w:cs="Times New Roman"/>
          <w:iCs/>
          <w:sz w:val="20"/>
          <w:szCs w:val="20"/>
        </w:rPr>
        <w:t>, J. a kol.</w:t>
      </w:r>
      <w:r w:rsidR="00AE11BD" w:rsidRPr="005658B9">
        <w:rPr>
          <w:rFonts w:ascii="Times New Roman" w:hAnsi="Times New Roman" w:cs="Times New Roman"/>
          <w:iCs/>
          <w:sz w:val="20"/>
          <w:szCs w:val="20"/>
        </w:rPr>
        <w:t>:</w:t>
      </w:r>
      <w:r w:rsidRPr="005658B9">
        <w:rPr>
          <w:rFonts w:ascii="Times New Roman" w:hAnsi="Times New Roman" w:cs="Times New Roman"/>
          <w:iCs/>
          <w:sz w:val="20"/>
          <w:szCs w:val="20"/>
        </w:rPr>
        <w:t xml:space="preserve"> </w:t>
      </w:r>
      <w:r w:rsidRPr="005658B9">
        <w:rPr>
          <w:rFonts w:ascii="Times New Roman" w:hAnsi="Times New Roman" w:cs="Times New Roman"/>
          <w:i/>
          <w:iCs/>
          <w:sz w:val="20"/>
          <w:szCs w:val="20"/>
        </w:rPr>
        <w:t>Volební systémy</w:t>
      </w:r>
      <w:r w:rsidRPr="005658B9">
        <w:rPr>
          <w:rFonts w:ascii="Times New Roman" w:hAnsi="Times New Roman" w:cs="Times New Roman"/>
          <w:iCs/>
          <w:sz w:val="20"/>
          <w:szCs w:val="20"/>
        </w:rPr>
        <w:t>. Brno: IIPS.</w:t>
      </w:r>
    </w:p>
    <w:p w:rsidR="00DF128A" w:rsidRPr="005658B9" w:rsidRDefault="00DF128A" w:rsidP="00F31E15">
      <w:pPr>
        <w:widowControl w:val="0"/>
        <w:spacing w:after="120" w:line="276" w:lineRule="auto"/>
        <w:jc w:val="both"/>
        <w:rPr>
          <w:rFonts w:ascii="Times New Roman" w:hAnsi="Times New Roman" w:cs="Times New Roman"/>
          <w:iCs/>
          <w:sz w:val="20"/>
          <w:szCs w:val="20"/>
        </w:rPr>
      </w:pPr>
      <w:r w:rsidRPr="005658B9">
        <w:rPr>
          <w:rFonts w:ascii="Times New Roman" w:hAnsi="Times New Roman" w:cs="Times New Roman"/>
          <w:iCs/>
          <w:sz w:val="20"/>
          <w:szCs w:val="20"/>
        </w:rPr>
        <w:t>H</w:t>
      </w:r>
      <w:r w:rsidR="00AE11BD" w:rsidRPr="005658B9">
        <w:rPr>
          <w:rFonts w:ascii="Times New Roman" w:hAnsi="Times New Roman" w:cs="Times New Roman"/>
          <w:iCs/>
          <w:sz w:val="20"/>
          <w:szCs w:val="20"/>
        </w:rPr>
        <w:t>loušek,</w:t>
      </w:r>
      <w:r w:rsidRPr="005658B9">
        <w:rPr>
          <w:rFonts w:ascii="Times New Roman" w:hAnsi="Times New Roman" w:cs="Times New Roman"/>
          <w:iCs/>
          <w:sz w:val="20"/>
          <w:szCs w:val="20"/>
        </w:rPr>
        <w:t xml:space="preserve"> V. </w:t>
      </w:r>
      <w:r w:rsidR="00AE11BD" w:rsidRPr="005658B9">
        <w:rPr>
          <w:rFonts w:ascii="Times New Roman" w:hAnsi="Times New Roman" w:cs="Times New Roman"/>
          <w:iCs/>
          <w:sz w:val="20"/>
          <w:szCs w:val="20"/>
        </w:rPr>
        <w:t xml:space="preserve">(2005): </w:t>
      </w:r>
      <w:r w:rsidRPr="005658B9">
        <w:rPr>
          <w:rFonts w:ascii="Times New Roman" w:hAnsi="Times New Roman" w:cs="Times New Roman"/>
          <w:i/>
          <w:iCs/>
          <w:sz w:val="20"/>
          <w:szCs w:val="20"/>
        </w:rPr>
        <w:t>Švýcarsko</w:t>
      </w:r>
      <w:r w:rsidRPr="005658B9">
        <w:rPr>
          <w:rFonts w:ascii="Times New Roman" w:hAnsi="Times New Roman" w:cs="Times New Roman"/>
          <w:iCs/>
          <w:sz w:val="20"/>
          <w:szCs w:val="20"/>
        </w:rPr>
        <w:t>. In S</w:t>
      </w:r>
      <w:r w:rsidR="00AE11BD" w:rsidRPr="005658B9">
        <w:rPr>
          <w:rFonts w:ascii="Times New Roman" w:hAnsi="Times New Roman" w:cs="Times New Roman"/>
          <w:iCs/>
          <w:sz w:val="20"/>
          <w:szCs w:val="20"/>
        </w:rPr>
        <w:t>trmiska</w:t>
      </w:r>
      <w:r w:rsidRPr="005658B9">
        <w:rPr>
          <w:rFonts w:ascii="Times New Roman" w:hAnsi="Times New Roman" w:cs="Times New Roman"/>
          <w:iCs/>
          <w:sz w:val="20"/>
          <w:szCs w:val="20"/>
        </w:rPr>
        <w:t>, M. a kol.</w:t>
      </w:r>
      <w:r w:rsidR="00AE11BD" w:rsidRPr="005658B9">
        <w:rPr>
          <w:rFonts w:ascii="Times New Roman" w:hAnsi="Times New Roman" w:cs="Times New Roman"/>
          <w:iCs/>
          <w:sz w:val="20"/>
          <w:szCs w:val="20"/>
        </w:rPr>
        <w:t>:</w:t>
      </w:r>
      <w:r w:rsidRPr="005658B9">
        <w:rPr>
          <w:rFonts w:ascii="Times New Roman" w:hAnsi="Times New Roman" w:cs="Times New Roman"/>
          <w:iCs/>
          <w:sz w:val="20"/>
          <w:szCs w:val="20"/>
        </w:rPr>
        <w:t xml:space="preserve"> </w:t>
      </w:r>
      <w:r w:rsidRPr="005658B9">
        <w:rPr>
          <w:rFonts w:ascii="Times New Roman" w:hAnsi="Times New Roman" w:cs="Times New Roman"/>
          <w:i/>
          <w:iCs/>
          <w:sz w:val="20"/>
          <w:szCs w:val="20"/>
        </w:rPr>
        <w:t>Politické strany moderní Evropy</w:t>
      </w:r>
      <w:r w:rsidRPr="005658B9">
        <w:rPr>
          <w:rFonts w:ascii="Times New Roman" w:hAnsi="Times New Roman" w:cs="Times New Roman"/>
          <w:iCs/>
          <w:sz w:val="20"/>
          <w:szCs w:val="20"/>
        </w:rPr>
        <w:t>. Praha: Portál.</w:t>
      </w:r>
    </w:p>
    <w:p w:rsidR="00DF128A" w:rsidRPr="005658B9" w:rsidRDefault="00DF128A" w:rsidP="00F31E15">
      <w:pPr>
        <w:widowControl w:val="0"/>
        <w:spacing w:after="120" w:line="276" w:lineRule="auto"/>
        <w:jc w:val="both"/>
        <w:rPr>
          <w:rFonts w:ascii="Times New Roman" w:hAnsi="Times New Roman" w:cs="Times New Roman"/>
          <w:iCs/>
          <w:sz w:val="20"/>
          <w:szCs w:val="20"/>
        </w:rPr>
      </w:pPr>
      <w:r w:rsidRPr="005658B9">
        <w:rPr>
          <w:rFonts w:ascii="Times New Roman" w:hAnsi="Times New Roman" w:cs="Times New Roman"/>
          <w:iCs/>
          <w:sz w:val="20"/>
          <w:szCs w:val="20"/>
        </w:rPr>
        <w:t>L</w:t>
      </w:r>
      <w:r w:rsidR="00AE11BD" w:rsidRPr="005658B9">
        <w:rPr>
          <w:rFonts w:ascii="Times New Roman" w:hAnsi="Times New Roman" w:cs="Times New Roman"/>
          <w:iCs/>
          <w:sz w:val="20"/>
          <w:szCs w:val="20"/>
        </w:rPr>
        <w:t>emon</w:t>
      </w:r>
      <w:r w:rsidRPr="005658B9">
        <w:rPr>
          <w:rFonts w:ascii="Times New Roman" w:hAnsi="Times New Roman" w:cs="Times New Roman"/>
          <w:iCs/>
          <w:sz w:val="20"/>
          <w:szCs w:val="20"/>
        </w:rPr>
        <w:t>, A.</w:t>
      </w:r>
      <w:r w:rsidR="00AE11BD" w:rsidRPr="005658B9">
        <w:rPr>
          <w:rFonts w:ascii="Times New Roman" w:hAnsi="Times New Roman" w:cs="Times New Roman"/>
          <w:iCs/>
          <w:sz w:val="20"/>
          <w:szCs w:val="20"/>
        </w:rPr>
        <w:t xml:space="preserve"> (2004):</w:t>
      </w:r>
      <w:r w:rsidRPr="005658B9">
        <w:rPr>
          <w:rFonts w:ascii="Times New Roman" w:hAnsi="Times New Roman" w:cs="Times New Roman"/>
          <w:iCs/>
          <w:sz w:val="20"/>
          <w:szCs w:val="20"/>
        </w:rPr>
        <w:t xml:space="preserve"> South Africa's third post-apartheid election</w:t>
      </w:r>
      <w:r w:rsidR="00AE11BD" w:rsidRPr="005658B9">
        <w:rPr>
          <w:rFonts w:ascii="Times New Roman" w:hAnsi="Times New Roman" w:cs="Times New Roman"/>
          <w:iCs/>
          <w:sz w:val="20"/>
          <w:szCs w:val="20"/>
        </w:rPr>
        <w:t>.</w:t>
      </w:r>
      <w:r w:rsidRPr="005658B9">
        <w:rPr>
          <w:rFonts w:ascii="Times New Roman" w:hAnsi="Times New Roman" w:cs="Times New Roman"/>
          <w:iCs/>
          <w:sz w:val="20"/>
          <w:szCs w:val="20"/>
        </w:rPr>
        <w:t xml:space="preserve"> </w:t>
      </w:r>
      <w:r w:rsidRPr="005658B9">
        <w:rPr>
          <w:rFonts w:ascii="Times New Roman" w:hAnsi="Times New Roman" w:cs="Times New Roman"/>
          <w:i/>
          <w:sz w:val="20"/>
          <w:szCs w:val="20"/>
        </w:rPr>
        <w:t>Electoral Studies</w:t>
      </w:r>
      <w:r w:rsidRPr="005658B9">
        <w:rPr>
          <w:rFonts w:ascii="Times New Roman" w:hAnsi="Times New Roman" w:cs="Times New Roman"/>
          <w:iCs/>
          <w:sz w:val="20"/>
          <w:szCs w:val="20"/>
        </w:rPr>
        <w:t>, roč. 24, č. 2, s. 319-326.</w:t>
      </w:r>
    </w:p>
    <w:p w:rsidR="00DF128A" w:rsidRPr="005658B9" w:rsidRDefault="00DF128A" w:rsidP="00F31E15">
      <w:pPr>
        <w:widowControl w:val="0"/>
        <w:spacing w:after="120" w:line="276" w:lineRule="auto"/>
        <w:jc w:val="both"/>
        <w:rPr>
          <w:rFonts w:ascii="Times New Roman" w:hAnsi="Times New Roman" w:cs="Times New Roman"/>
          <w:iCs/>
          <w:sz w:val="20"/>
          <w:szCs w:val="20"/>
        </w:rPr>
      </w:pPr>
      <w:r w:rsidRPr="005658B9">
        <w:rPr>
          <w:rFonts w:ascii="Times New Roman" w:hAnsi="Times New Roman" w:cs="Times New Roman"/>
          <w:iCs/>
          <w:sz w:val="20"/>
          <w:szCs w:val="20"/>
        </w:rPr>
        <w:t>L</w:t>
      </w:r>
      <w:r w:rsidR="00AE11BD" w:rsidRPr="005658B9">
        <w:rPr>
          <w:rFonts w:ascii="Times New Roman" w:hAnsi="Times New Roman" w:cs="Times New Roman"/>
          <w:iCs/>
          <w:sz w:val="20"/>
          <w:szCs w:val="20"/>
        </w:rPr>
        <w:t>emon</w:t>
      </w:r>
      <w:r w:rsidRPr="005658B9">
        <w:rPr>
          <w:rFonts w:ascii="Times New Roman" w:hAnsi="Times New Roman" w:cs="Times New Roman"/>
          <w:iCs/>
          <w:sz w:val="20"/>
          <w:szCs w:val="20"/>
        </w:rPr>
        <w:t>, A.</w:t>
      </w:r>
      <w:r w:rsidR="00AE11BD" w:rsidRPr="005658B9">
        <w:rPr>
          <w:rFonts w:ascii="Times New Roman" w:hAnsi="Times New Roman" w:cs="Times New Roman"/>
          <w:iCs/>
          <w:sz w:val="20"/>
          <w:szCs w:val="20"/>
        </w:rPr>
        <w:t xml:space="preserve"> (1999</w:t>
      </w:r>
      <w:r w:rsidR="00AE11BD" w:rsidRPr="005658B9">
        <w:rPr>
          <w:rFonts w:ascii="Times New Roman" w:hAnsi="Times New Roman" w:cs="Times New Roman"/>
          <w:i/>
          <w:iCs/>
          <w:sz w:val="20"/>
          <w:szCs w:val="20"/>
        </w:rPr>
        <w:t>):</w:t>
      </w:r>
      <w:r w:rsidRPr="005658B9">
        <w:rPr>
          <w:rFonts w:ascii="Times New Roman" w:hAnsi="Times New Roman" w:cs="Times New Roman"/>
          <w:i/>
          <w:iCs/>
          <w:sz w:val="20"/>
          <w:szCs w:val="20"/>
        </w:rPr>
        <w:t xml:space="preserve"> </w:t>
      </w:r>
      <w:r w:rsidRPr="005658B9">
        <w:rPr>
          <w:rFonts w:ascii="Times New Roman" w:hAnsi="Times New Roman" w:cs="Times New Roman"/>
          <w:iCs/>
          <w:sz w:val="20"/>
          <w:szCs w:val="20"/>
        </w:rPr>
        <w:t>The General Election in South Africa</w:t>
      </w:r>
      <w:r w:rsidR="00AE11BD" w:rsidRPr="005658B9">
        <w:rPr>
          <w:rFonts w:ascii="Times New Roman" w:hAnsi="Times New Roman" w:cs="Times New Roman"/>
          <w:iCs/>
          <w:sz w:val="20"/>
          <w:szCs w:val="20"/>
        </w:rPr>
        <w:t>.</w:t>
      </w:r>
      <w:r w:rsidRPr="005658B9">
        <w:rPr>
          <w:rFonts w:ascii="Times New Roman" w:hAnsi="Times New Roman" w:cs="Times New Roman"/>
          <w:iCs/>
          <w:sz w:val="20"/>
          <w:szCs w:val="20"/>
        </w:rPr>
        <w:t xml:space="preserve"> </w:t>
      </w:r>
      <w:r w:rsidRPr="005658B9">
        <w:rPr>
          <w:rFonts w:ascii="Times New Roman" w:hAnsi="Times New Roman" w:cs="Times New Roman"/>
          <w:i/>
          <w:sz w:val="20"/>
          <w:szCs w:val="20"/>
        </w:rPr>
        <w:t>Electoral Studies</w:t>
      </w:r>
      <w:r w:rsidRPr="005658B9">
        <w:rPr>
          <w:rFonts w:ascii="Times New Roman" w:hAnsi="Times New Roman" w:cs="Times New Roman"/>
          <w:iCs/>
          <w:sz w:val="20"/>
          <w:szCs w:val="20"/>
        </w:rPr>
        <w:t>, roč. 20, č. 2, s. 331-339.</w:t>
      </w:r>
    </w:p>
    <w:p w:rsidR="00DF128A" w:rsidRPr="005658B9" w:rsidRDefault="00DF128A" w:rsidP="00F31E15">
      <w:pPr>
        <w:widowControl w:val="0"/>
        <w:spacing w:after="120" w:line="276" w:lineRule="auto"/>
        <w:jc w:val="both"/>
        <w:rPr>
          <w:rFonts w:ascii="Times New Roman" w:hAnsi="Times New Roman" w:cs="Times New Roman"/>
          <w:iCs/>
          <w:sz w:val="20"/>
          <w:szCs w:val="20"/>
        </w:rPr>
      </w:pPr>
      <w:r w:rsidRPr="005658B9">
        <w:rPr>
          <w:rFonts w:ascii="Times New Roman" w:hAnsi="Times New Roman" w:cs="Times New Roman"/>
          <w:iCs/>
          <w:sz w:val="20"/>
          <w:szCs w:val="20"/>
        </w:rPr>
        <w:t>M</w:t>
      </w:r>
      <w:r w:rsidR="00AE11BD" w:rsidRPr="005658B9">
        <w:rPr>
          <w:rFonts w:ascii="Times New Roman" w:hAnsi="Times New Roman" w:cs="Times New Roman"/>
          <w:iCs/>
          <w:sz w:val="20"/>
          <w:szCs w:val="20"/>
        </w:rPr>
        <w:t>illard</w:t>
      </w:r>
      <w:r w:rsidRPr="005658B9">
        <w:rPr>
          <w:rFonts w:ascii="Times New Roman" w:hAnsi="Times New Roman" w:cs="Times New Roman"/>
          <w:iCs/>
          <w:sz w:val="20"/>
          <w:szCs w:val="20"/>
        </w:rPr>
        <w:t>, F.</w:t>
      </w:r>
      <w:r w:rsidR="00AE11BD" w:rsidRPr="005658B9">
        <w:rPr>
          <w:rFonts w:ascii="Times New Roman" w:hAnsi="Times New Roman" w:cs="Times New Roman"/>
          <w:iCs/>
          <w:sz w:val="20"/>
          <w:szCs w:val="20"/>
        </w:rPr>
        <w:t xml:space="preserve"> (2003):</w:t>
      </w:r>
      <w:r w:rsidRPr="005658B9">
        <w:rPr>
          <w:rFonts w:ascii="Times New Roman" w:hAnsi="Times New Roman" w:cs="Times New Roman"/>
          <w:iCs/>
          <w:sz w:val="20"/>
          <w:szCs w:val="20"/>
        </w:rPr>
        <w:t xml:space="preserve"> The parliamentary elections in Poland</w:t>
      </w:r>
      <w:r w:rsidR="00AE11BD" w:rsidRPr="005658B9">
        <w:rPr>
          <w:rFonts w:ascii="Times New Roman" w:hAnsi="Times New Roman" w:cs="Times New Roman"/>
          <w:iCs/>
          <w:sz w:val="20"/>
          <w:szCs w:val="20"/>
        </w:rPr>
        <w:t xml:space="preserve">. </w:t>
      </w:r>
      <w:r w:rsidR="00AE11BD" w:rsidRPr="005658B9">
        <w:rPr>
          <w:rFonts w:ascii="Times New Roman" w:hAnsi="Times New Roman" w:cs="Times New Roman"/>
          <w:i/>
          <w:iCs/>
          <w:sz w:val="20"/>
          <w:szCs w:val="20"/>
        </w:rPr>
        <w:t>E</w:t>
      </w:r>
      <w:r w:rsidRPr="005658B9">
        <w:rPr>
          <w:rFonts w:ascii="Times New Roman" w:hAnsi="Times New Roman" w:cs="Times New Roman"/>
          <w:i/>
          <w:iCs/>
          <w:sz w:val="20"/>
          <w:szCs w:val="20"/>
        </w:rPr>
        <w:t>lectoral studies</w:t>
      </w:r>
      <w:r w:rsidRPr="005658B9">
        <w:rPr>
          <w:rFonts w:ascii="Times New Roman" w:hAnsi="Times New Roman" w:cs="Times New Roman"/>
          <w:iCs/>
          <w:sz w:val="20"/>
          <w:szCs w:val="20"/>
        </w:rPr>
        <w:t>, roč. 2003, č. 22, s. 325-395.</w:t>
      </w:r>
    </w:p>
    <w:p w:rsidR="00DF128A" w:rsidRPr="005658B9" w:rsidRDefault="00DF128A" w:rsidP="00F31E15">
      <w:pPr>
        <w:widowControl w:val="0"/>
        <w:spacing w:after="120" w:line="276" w:lineRule="auto"/>
        <w:jc w:val="both"/>
        <w:rPr>
          <w:rFonts w:ascii="Times New Roman" w:hAnsi="Times New Roman" w:cs="Times New Roman"/>
          <w:iCs/>
          <w:sz w:val="20"/>
          <w:szCs w:val="20"/>
        </w:rPr>
      </w:pPr>
      <w:r w:rsidRPr="005658B9">
        <w:rPr>
          <w:rFonts w:ascii="Times New Roman" w:hAnsi="Times New Roman" w:cs="Times New Roman"/>
          <w:iCs/>
          <w:sz w:val="20"/>
          <w:szCs w:val="20"/>
        </w:rPr>
        <w:t xml:space="preserve">OBSE (2007): Swiss Confederation, Federal elections 21 October 2007, OSCE/ODIHR Needs assessment mission report 19-22 June 2007. OSCE: </w:t>
      </w:r>
      <w:r w:rsidR="00AE11BD" w:rsidRPr="005658B9">
        <w:rPr>
          <w:rFonts w:ascii="Times New Roman" w:hAnsi="Times New Roman" w:cs="Times New Roman"/>
          <w:iCs/>
          <w:sz w:val="20"/>
          <w:szCs w:val="20"/>
        </w:rPr>
        <w:t>V</w:t>
      </w:r>
      <w:r w:rsidRPr="005658B9">
        <w:rPr>
          <w:rFonts w:ascii="Times New Roman" w:hAnsi="Times New Roman" w:cs="Times New Roman"/>
          <w:iCs/>
          <w:sz w:val="20"/>
          <w:szCs w:val="20"/>
        </w:rPr>
        <w:t xml:space="preserve">aršava. </w:t>
      </w:r>
      <w:r w:rsidR="00BC5C10" w:rsidRPr="0012130E">
        <w:rPr>
          <w:rFonts w:ascii="Times New Roman" w:hAnsi="Times New Roman" w:cs="Times New Roman"/>
          <w:sz w:val="20"/>
          <w:szCs w:val="20"/>
        </w:rPr>
        <w:t xml:space="preserve">[cit. 20. července 2011]. Dostupný online </w:t>
      </w:r>
      <w:r w:rsidR="00BC5C10" w:rsidRPr="0012130E">
        <w:rPr>
          <w:rFonts w:ascii="Times New Roman" w:hAnsi="Times New Roman" w:cs="Times New Roman"/>
          <w:iCs/>
          <w:sz w:val="20"/>
          <w:szCs w:val="20"/>
        </w:rPr>
        <w:t>&lt;</w:t>
      </w:r>
      <w:hyperlink r:id="rId39" w:history="1">
        <w:r w:rsidRPr="005658B9">
          <w:rPr>
            <w:rFonts w:ascii="Times New Roman" w:hAnsi="Times New Roman" w:cs="Times New Roman"/>
            <w:iCs/>
            <w:sz w:val="20"/>
            <w:szCs w:val="20"/>
          </w:rPr>
          <w:t>http://www.osce.org/odihr-elections/item_12_27347.html</w:t>
        </w:r>
      </w:hyperlink>
      <w:r w:rsidRPr="005658B9">
        <w:rPr>
          <w:rFonts w:ascii="Times New Roman" w:hAnsi="Times New Roman" w:cs="Times New Roman"/>
          <w:iCs/>
          <w:sz w:val="20"/>
          <w:szCs w:val="20"/>
        </w:rPr>
        <w:t>&gt;</w:t>
      </w:r>
      <w:r w:rsidR="00BC5C10">
        <w:rPr>
          <w:rFonts w:ascii="Times New Roman" w:hAnsi="Times New Roman" w:cs="Times New Roman"/>
          <w:iCs/>
          <w:sz w:val="20"/>
          <w:szCs w:val="20"/>
        </w:rPr>
        <w:t>.</w:t>
      </w:r>
    </w:p>
    <w:p w:rsidR="00DF128A" w:rsidRPr="005658B9" w:rsidRDefault="00DF128A" w:rsidP="00BC5C10">
      <w:pPr>
        <w:widowControl w:val="0"/>
        <w:spacing w:after="120" w:line="276" w:lineRule="auto"/>
        <w:jc w:val="both"/>
        <w:rPr>
          <w:rFonts w:ascii="Times New Roman" w:hAnsi="Times New Roman" w:cs="Times New Roman"/>
          <w:iCs/>
          <w:sz w:val="20"/>
          <w:szCs w:val="20"/>
        </w:rPr>
      </w:pPr>
      <w:r w:rsidRPr="005658B9">
        <w:rPr>
          <w:rFonts w:ascii="Times New Roman" w:hAnsi="Times New Roman" w:cs="Times New Roman"/>
          <w:iCs/>
          <w:sz w:val="20"/>
          <w:szCs w:val="20"/>
        </w:rPr>
        <w:t>P</w:t>
      </w:r>
      <w:r w:rsidR="00AE11BD" w:rsidRPr="005658B9">
        <w:rPr>
          <w:rFonts w:ascii="Times New Roman" w:hAnsi="Times New Roman" w:cs="Times New Roman"/>
          <w:iCs/>
          <w:sz w:val="20"/>
          <w:szCs w:val="20"/>
        </w:rPr>
        <w:t>etras</w:t>
      </w:r>
      <w:r w:rsidRPr="005658B9">
        <w:rPr>
          <w:rFonts w:ascii="Times New Roman" w:hAnsi="Times New Roman" w:cs="Times New Roman"/>
          <w:iCs/>
          <w:sz w:val="20"/>
          <w:szCs w:val="20"/>
        </w:rPr>
        <w:t>, J., V</w:t>
      </w:r>
      <w:r w:rsidR="00AE11BD" w:rsidRPr="005658B9">
        <w:rPr>
          <w:rFonts w:ascii="Times New Roman" w:hAnsi="Times New Roman" w:cs="Times New Roman"/>
          <w:iCs/>
          <w:sz w:val="20"/>
          <w:szCs w:val="20"/>
        </w:rPr>
        <w:t>ieux</w:t>
      </w:r>
      <w:r w:rsidRPr="005658B9">
        <w:rPr>
          <w:rFonts w:ascii="Times New Roman" w:hAnsi="Times New Roman" w:cs="Times New Roman"/>
          <w:iCs/>
          <w:sz w:val="20"/>
          <w:szCs w:val="20"/>
        </w:rPr>
        <w:t xml:space="preserve">, S. A defeat for the PT, but not a victory for Cardoso. </w:t>
      </w:r>
      <w:r w:rsidR="0012130E" w:rsidRPr="0012130E">
        <w:rPr>
          <w:rFonts w:ascii="Times New Roman" w:hAnsi="Times New Roman" w:cs="Times New Roman"/>
          <w:sz w:val="20"/>
          <w:szCs w:val="20"/>
        </w:rPr>
        <w:t xml:space="preserve">[cit. 20. července 2011]. Dostupný online </w:t>
      </w:r>
      <w:r w:rsidR="0012130E" w:rsidRPr="0012130E">
        <w:rPr>
          <w:rFonts w:ascii="Times New Roman" w:hAnsi="Times New Roman" w:cs="Times New Roman"/>
          <w:iCs/>
          <w:sz w:val="20"/>
          <w:szCs w:val="20"/>
        </w:rPr>
        <w:t>&lt;</w:t>
      </w:r>
      <w:r w:rsidRPr="005658B9">
        <w:rPr>
          <w:rFonts w:ascii="Times New Roman" w:hAnsi="Times New Roman" w:cs="Times New Roman"/>
          <w:iCs/>
          <w:sz w:val="20"/>
          <w:szCs w:val="20"/>
        </w:rPr>
        <w:t>http://findarticles.com/p/articles/mi_qa4000/is_200107/ai_n8995604/pg_1</w:t>
      </w:r>
      <w:r w:rsidR="00BC5C10" w:rsidRPr="005658B9">
        <w:rPr>
          <w:rFonts w:ascii="Times New Roman" w:hAnsi="Times New Roman" w:cs="Times New Roman"/>
          <w:iCs/>
          <w:sz w:val="20"/>
          <w:szCs w:val="20"/>
        </w:rPr>
        <w:t xml:space="preserve"> </w:t>
      </w:r>
      <w:r w:rsidRPr="005658B9">
        <w:rPr>
          <w:rFonts w:ascii="Times New Roman" w:hAnsi="Times New Roman" w:cs="Times New Roman"/>
          <w:iCs/>
          <w:sz w:val="20"/>
          <w:szCs w:val="20"/>
        </w:rPr>
        <w:t>&gt;</w:t>
      </w:r>
      <w:r w:rsidR="00BC5C10">
        <w:rPr>
          <w:rFonts w:ascii="Times New Roman" w:hAnsi="Times New Roman" w:cs="Times New Roman"/>
          <w:iCs/>
          <w:sz w:val="20"/>
          <w:szCs w:val="20"/>
        </w:rPr>
        <w:t>.</w:t>
      </w:r>
    </w:p>
    <w:p w:rsidR="00DF128A" w:rsidRPr="005658B9" w:rsidRDefault="00DF128A" w:rsidP="00F31E15">
      <w:pPr>
        <w:widowControl w:val="0"/>
        <w:spacing w:after="120" w:line="276" w:lineRule="auto"/>
        <w:jc w:val="both"/>
        <w:rPr>
          <w:rFonts w:ascii="Times New Roman" w:hAnsi="Times New Roman" w:cs="Times New Roman"/>
          <w:iCs/>
          <w:sz w:val="20"/>
          <w:szCs w:val="20"/>
        </w:rPr>
      </w:pPr>
      <w:r w:rsidRPr="005658B9">
        <w:rPr>
          <w:rFonts w:ascii="Times New Roman" w:hAnsi="Times New Roman" w:cs="Times New Roman"/>
          <w:iCs/>
          <w:sz w:val="20"/>
          <w:szCs w:val="20"/>
        </w:rPr>
        <w:t>P</w:t>
      </w:r>
      <w:r w:rsidR="00AE11BD" w:rsidRPr="005658B9">
        <w:rPr>
          <w:rFonts w:ascii="Times New Roman" w:hAnsi="Times New Roman" w:cs="Times New Roman"/>
          <w:iCs/>
          <w:sz w:val="20"/>
          <w:szCs w:val="20"/>
        </w:rPr>
        <w:t>lasser</w:t>
      </w:r>
      <w:r w:rsidRPr="005658B9">
        <w:rPr>
          <w:rFonts w:ascii="Times New Roman" w:hAnsi="Times New Roman" w:cs="Times New Roman"/>
          <w:iCs/>
          <w:sz w:val="20"/>
          <w:szCs w:val="20"/>
        </w:rPr>
        <w:t xml:space="preserve">, F., </w:t>
      </w:r>
      <w:r w:rsidR="005658B9" w:rsidRPr="005658B9">
        <w:rPr>
          <w:rFonts w:ascii="Times New Roman" w:hAnsi="Times New Roman" w:cs="Times New Roman"/>
          <w:iCs/>
          <w:sz w:val="20"/>
          <w:szCs w:val="20"/>
        </w:rPr>
        <w:t>Plasser</w:t>
      </w:r>
      <w:r w:rsidRPr="005658B9">
        <w:rPr>
          <w:rFonts w:ascii="Times New Roman" w:hAnsi="Times New Roman" w:cs="Times New Roman"/>
          <w:iCs/>
          <w:sz w:val="20"/>
          <w:szCs w:val="20"/>
        </w:rPr>
        <w:t>, G.</w:t>
      </w:r>
      <w:r w:rsidR="005658B9" w:rsidRPr="005658B9">
        <w:rPr>
          <w:rFonts w:ascii="Times New Roman" w:hAnsi="Times New Roman" w:cs="Times New Roman"/>
          <w:iCs/>
          <w:sz w:val="20"/>
          <w:szCs w:val="20"/>
        </w:rPr>
        <w:t xml:space="preserve"> (2002): </w:t>
      </w:r>
      <w:r w:rsidRPr="005658B9">
        <w:rPr>
          <w:rFonts w:ascii="Times New Roman" w:hAnsi="Times New Roman" w:cs="Times New Roman"/>
          <w:i/>
          <w:iCs/>
          <w:sz w:val="20"/>
          <w:szCs w:val="20"/>
        </w:rPr>
        <w:t>Global political campaigning</w:t>
      </w:r>
      <w:r w:rsidRPr="005658B9">
        <w:rPr>
          <w:rFonts w:ascii="Times New Roman" w:hAnsi="Times New Roman" w:cs="Times New Roman"/>
          <w:iCs/>
          <w:sz w:val="20"/>
          <w:szCs w:val="20"/>
        </w:rPr>
        <w:t xml:space="preserve">. </w:t>
      </w:r>
      <w:r w:rsidR="005658B9" w:rsidRPr="005658B9">
        <w:rPr>
          <w:rFonts w:ascii="Times New Roman" w:hAnsi="Times New Roman" w:cs="Times New Roman"/>
          <w:iCs/>
          <w:sz w:val="20"/>
          <w:szCs w:val="20"/>
        </w:rPr>
        <w:t>London: Praeger</w:t>
      </w:r>
      <w:r w:rsidRPr="005658B9">
        <w:rPr>
          <w:rFonts w:ascii="Times New Roman" w:hAnsi="Times New Roman" w:cs="Times New Roman"/>
          <w:iCs/>
          <w:sz w:val="20"/>
          <w:szCs w:val="20"/>
        </w:rPr>
        <w:t>.</w:t>
      </w:r>
    </w:p>
    <w:p w:rsidR="00DF128A" w:rsidRPr="005658B9" w:rsidRDefault="00DF128A" w:rsidP="00F31E15">
      <w:pPr>
        <w:widowControl w:val="0"/>
        <w:spacing w:after="120" w:line="276" w:lineRule="auto"/>
        <w:jc w:val="both"/>
        <w:rPr>
          <w:rFonts w:ascii="Times New Roman" w:hAnsi="Times New Roman" w:cs="Times New Roman"/>
          <w:iCs/>
          <w:sz w:val="20"/>
          <w:szCs w:val="20"/>
        </w:rPr>
      </w:pPr>
      <w:r w:rsidRPr="005658B9">
        <w:rPr>
          <w:rFonts w:ascii="Times New Roman" w:hAnsi="Times New Roman" w:cs="Times New Roman"/>
          <w:iCs/>
          <w:sz w:val="20"/>
          <w:szCs w:val="20"/>
        </w:rPr>
        <w:t>R</w:t>
      </w:r>
      <w:r w:rsidR="005658B9" w:rsidRPr="005658B9">
        <w:rPr>
          <w:rFonts w:ascii="Times New Roman" w:hAnsi="Times New Roman" w:cs="Times New Roman"/>
          <w:iCs/>
          <w:sz w:val="20"/>
          <w:szCs w:val="20"/>
        </w:rPr>
        <w:t>anney</w:t>
      </w:r>
      <w:r w:rsidRPr="005658B9">
        <w:rPr>
          <w:rFonts w:ascii="Times New Roman" w:hAnsi="Times New Roman" w:cs="Times New Roman"/>
          <w:iCs/>
          <w:sz w:val="20"/>
          <w:szCs w:val="20"/>
        </w:rPr>
        <w:t>, A.</w:t>
      </w:r>
      <w:r w:rsidR="005658B9" w:rsidRPr="005658B9">
        <w:rPr>
          <w:rFonts w:ascii="Times New Roman" w:hAnsi="Times New Roman" w:cs="Times New Roman"/>
          <w:iCs/>
          <w:sz w:val="20"/>
          <w:szCs w:val="20"/>
        </w:rPr>
        <w:t xml:space="preserve"> (2004)</w:t>
      </w:r>
      <w:r w:rsidRPr="005658B9">
        <w:rPr>
          <w:rFonts w:ascii="Times New Roman" w:hAnsi="Times New Roman" w:cs="Times New Roman"/>
          <w:iCs/>
          <w:sz w:val="20"/>
          <w:szCs w:val="20"/>
        </w:rPr>
        <w:t xml:space="preserve">: </w:t>
      </w:r>
      <w:r w:rsidRPr="005658B9">
        <w:rPr>
          <w:rFonts w:ascii="Times New Roman" w:hAnsi="Times New Roman" w:cs="Times New Roman"/>
          <w:i/>
          <w:iCs/>
          <w:sz w:val="20"/>
          <w:szCs w:val="20"/>
        </w:rPr>
        <w:t>Politics in the United States</w:t>
      </w:r>
      <w:r w:rsidRPr="005658B9">
        <w:rPr>
          <w:rFonts w:ascii="Times New Roman" w:hAnsi="Times New Roman" w:cs="Times New Roman"/>
          <w:iCs/>
          <w:sz w:val="20"/>
          <w:szCs w:val="20"/>
        </w:rPr>
        <w:t>. In: A</w:t>
      </w:r>
      <w:r w:rsidR="005658B9" w:rsidRPr="005658B9">
        <w:rPr>
          <w:rFonts w:ascii="Times New Roman" w:hAnsi="Times New Roman" w:cs="Times New Roman"/>
          <w:iCs/>
          <w:sz w:val="20"/>
          <w:szCs w:val="20"/>
        </w:rPr>
        <w:t>lmond</w:t>
      </w:r>
      <w:r w:rsidRPr="005658B9">
        <w:rPr>
          <w:rFonts w:ascii="Times New Roman" w:hAnsi="Times New Roman" w:cs="Times New Roman"/>
          <w:iCs/>
          <w:sz w:val="20"/>
          <w:szCs w:val="20"/>
        </w:rPr>
        <w:t xml:space="preserve">, G. a kol: </w:t>
      </w:r>
      <w:r w:rsidRPr="005658B9">
        <w:rPr>
          <w:rFonts w:ascii="Times New Roman" w:hAnsi="Times New Roman" w:cs="Times New Roman"/>
          <w:i/>
          <w:iCs/>
          <w:sz w:val="20"/>
          <w:szCs w:val="20"/>
        </w:rPr>
        <w:t>Comparative Politics Today</w:t>
      </w:r>
      <w:r w:rsidRPr="005658B9">
        <w:rPr>
          <w:rFonts w:ascii="Times New Roman" w:hAnsi="Times New Roman" w:cs="Times New Roman"/>
          <w:iCs/>
          <w:sz w:val="20"/>
          <w:szCs w:val="20"/>
        </w:rPr>
        <w:t>. New York: A World View.</w:t>
      </w:r>
    </w:p>
    <w:p w:rsidR="00DF128A" w:rsidRPr="00BC5C10" w:rsidRDefault="00DF128A" w:rsidP="00BC5C10">
      <w:pPr>
        <w:widowControl w:val="0"/>
        <w:spacing w:after="120" w:line="276" w:lineRule="auto"/>
        <w:jc w:val="both"/>
        <w:rPr>
          <w:rFonts w:ascii="Times New Roman" w:hAnsi="Times New Roman" w:cs="Times New Roman"/>
          <w:iCs/>
          <w:sz w:val="20"/>
          <w:szCs w:val="20"/>
        </w:rPr>
      </w:pPr>
      <w:r w:rsidRPr="00BC5C10">
        <w:rPr>
          <w:rFonts w:ascii="Times New Roman" w:hAnsi="Times New Roman" w:cs="Times New Roman"/>
          <w:iCs/>
          <w:sz w:val="20"/>
          <w:szCs w:val="20"/>
        </w:rPr>
        <w:t>S</w:t>
      </w:r>
      <w:r w:rsidR="005658B9" w:rsidRPr="00BC5C10">
        <w:rPr>
          <w:rFonts w:ascii="Times New Roman" w:hAnsi="Times New Roman" w:cs="Times New Roman"/>
          <w:iCs/>
          <w:sz w:val="20"/>
          <w:szCs w:val="20"/>
        </w:rPr>
        <w:t>chafferer</w:t>
      </w:r>
      <w:r w:rsidRPr="00BC5C10">
        <w:rPr>
          <w:rFonts w:ascii="Times New Roman" w:hAnsi="Times New Roman" w:cs="Times New Roman"/>
          <w:iCs/>
          <w:sz w:val="20"/>
          <w:szCs w:val="20"/>
        </w:rPr>
        <w:t>, Ch.</w:t>
      </w:r>
      <w:r w:rsidR="00BC5C10">
        <w:rPr>
          <w:rFonts w:ascii="Times New Roman" w:hAnsi="Times New Roman" w:cs="Times New Roman"/>
          <w:iCs/>
          <w:sz w:val="20"/>
          <w:szCs w:val="20"/>
        </w:rPr>
        <w:t>:</w:t>
      </w:r>
      <w:r w:rsidRPr="00BC5C10">
        <w:rPr>
          <w:rFonts w:ascii="Times New Roman" w:hAnsi="Times New Roman" w:cs="Times New Roman"/>
          <w:iCs/>
          <w:sz w:val="20"/>
          <w:szCs w:val="20"/>
        </w:rPr>
        <w:t xml:space="preserve"> </w:t>
      </w:r>
      <w:r w:rsidRPr="00BC5C10">
        <w:rPr>
          <w:rFonts w:ascii="Times New Roman" w:hAnsi="Times New Roman" w:cs="Times New Roman"/>
          <w:i/>
          <w:iCs/>
          <w:sz w:val="20"/>
          <w:szCs w:val="20"/>
        </w:rPr>
        <w:t>The globalization of political marketing: an introduction</w:t>
      </w:r>
      <w:r w:rsidRPr="00BC5C10">
        <w:rPr>
          <w:rFonts w:ascii="Times New Roman" w:hAnsi="Times New Roman" w:cs="Times New Roman"/>
          <w:iCs/>
          <w:sz w:val="20"/>
          <w:szCs w:val="20"/>
        </w:rPr>
        <w:t xml:space="preserve">. </w:t>
      </w:r>
      <w:r w:rsidR="00BC5C10" w:rsidRPr="0012130E">
        <w:rPr>
          <w:rFonts w:ascii="Times New Roman" w:hAnsi="Times New Roman" w:cs="Times New Roman"/>
          <w:sz w:val="20"/>
          <w:szCs w:val="20"/>
        </w:rPr>
        <w:t xml:space="preserve">[cit. 20. července 2011]. Dostupný online </w:t>
      </w:r>
      <w:r w:rsidRPr="00BC5C10">
        <w:rPr>
          <w:rFonts w:ascii="Times New Roman" w:hAnsi="Times New Roman" w:cs="Times New Roman"/>
          <w:iCs/>
          <w:sz w:val="20"/>
          <w:szCs w:val="20"/>
        </w:rPr>
        <w:t>&lt;</w:t>
      </w:r>
      <w:r w:rsidR="00BC5C10" w:rsidRPr="00BC5C10">
        <w:rPr>
          <w:rFonts w:ascii="Times New Roman" w:hAnsi="Times New Roman" w:cs="Times New Roman"/>
          <w:iCs/>
          <w:sz w:val="20"/>
          <w:szCs w:val="20"/>
        </w:rPr>
        <w:t xml:space="preserve"> www.fule.at/documents/ElectionCh1.pdf </w:t>
      </w:r>
      <w:r w:rsidRPr="00BC5C10">
        <w:rPr>
          <w:rFonts w:ascii="Times New Roman" w:hAnsi="Times New Roman" w:cs="Times New Roman"/>
          <w:iCs/>
          <w:sz w:val="20"/>
          <w:szCs w:val="20"/>
        </w:rPr>
        <w:t>&gt;</w:t>
      </w:r>
      <w:r w:rsidR="00BC5C10">
        <w:rPr>
          <w:rFonts w:ascii="Times New Roman" w:hAnsi="Times New Roman" w:cs="Times New Roman"/>
          <w:iCs/>
          <w:sz w:val="20"/>
          <w:szCs w:val="20"/>
        </w:rPr>
        <w:t>.</w:t>
      </w:r>
    </w:p>
    <w:p w:rsidR="00DF128A" w:rsidRPr="005658B9" w:rsidRDefault="00DF128A" w:rsidP="00F31E15">
      <w:pPr>
        <w:widowControl w:val="0"/>
        <w:spacing w:after="120" w:line="276" w:lineRule="auto"/>
        <w:jc w:val="both"/>
        <w:rPr>
          <w:rFonts w:ascii="Times New Roman" w:hAnsi="Times New Roman" w:cs="Times New Roman"/>
          <w:iCs/>
          <w:sz w:val="20"/>
          <w:szCs w:val="20"/>
        </w:rPr>
      </w:pPr>
      <w:r w:rsidRPr="005658B9">
        <w:rPr>
          <w:rFonts w:ascii="Times New Roman" w:hAnsi="Times New Roman" w:cs="Times New Roman"/>
          <w:iCs/>
          <w:sz w:val="20"/>
          <w:szCs w:val="20"/>
        </w:rPr>
        <w:t>S</w:t>
      </w:r>
      <w:r w:rsidR="005658B9" w:rsidRPr="005658B9">
        <w:rPr>
          <w:rFonts w:ascii="Times New Roman" w:hAnsi="Times New Roman" w:cs="Times New Roman"/>
          <w:iCs/>
          <w:sz w:val="20"/>
          <w:szCs w:val="20"/>
        </w:rPr>
        <w:t>cammell</w:t>
      </w:r>
      <w:r w:rsidRPr="005658B9">
        <w:rPr>
          <w:rFonts w:ascii="Times New Roman" w:hAnsi="Times New Roman" w:cs="Times New Roman"/>
          <w:iCs/>
          <w:sz w:val="20"/>
          <w:szCs w:val="20"/>
        </w:rPr>
        <w:t xml:space="preserve">, M. (1997): </w:t>
      </w:r>
      <w:r w:rsidRPr="005658B9">
        <w:rPr>
          <w:rFonts w:ascii="Times New Roman" w:hAnsi="Times New Roman" w:cs="Times New Roman"/>
          <w:i/>
          <w:iCs/>
          <w:sz w:val="20"/>
          <w:szCs w:val="20"/>
        </w:rPr>
        <w:t>The wisdom of the war room: U.S. campaigning and americanization</w:t>
      </w:r>
      <w:r w:rsidRPr="005658B9">
        <w:rPr>
          <w:rFonts w:ascii="Times New Roman" w:hAnsi="Times New Roman" w:cs="Times New Roman"/>
          <w:iCs/>
          <w:sz w:val="20"/>
          <w:szCs w:val="20"/>
        </w:rPr>
        <w:t xml:space="preserve">. </w:t>
      </w:r>
      <w:r w:rsidR="005658B9" w:rsidRPr="005658B9">
        <w:rPr>
          <w:rFonts w:ascii="Times New Roman" w:hAnsi="Times New Roman" w:cs="Times New Roman"/>
          <w:iCs/>
          <w:sz w:val="20"/>
          <w:szCs w:val="20"/>
        </w:rPr>
        <w:t xml:space="preserve">Boston: </w:t>
      </w:r>
      <w:r w:rsidRPr="005658B9">
        <w:rPr>
          <w:rFonts w:ascii="Times New Roman" w:hAnsi="Times New Roman" w:cs="Times New Roman"/>
          <w:iCs/>
          <w:sz w:val="20"/>
          <w:szCs w:val="20"/>
        </w:rPr>
        <w:t>The Joan Shorenstein Center on the Press, Politics and Public Policy</w:t>
      </w:r>
      <w:r w:rsidR="005658B9" w:rsidRPr="005658B9">
        <w:rPr>
          <w:rFonts w:ascii="Times New Roman" w:hAnsi="Times New Roman" w:cs="Times New Roman"/>
          <w:iCs/>
          <w:sz w:val="20"/>
          <w:szCs w:val="20"/>
        </w:rPr>
        <w:t>.</w:t>
      </w:r>
    </w:p>
    <w:p w:rsidR="00DF128A" w:rsidRPr="005658B9" w:rsidRDefault="00DF128A" w:rsidP="00F31E15">
      <w:pPr>
        <w:widowControl w:val="0"/>
        <w:spacing w:after="120" w:line="276" w:lineRule="auto"/>
        <w:jc w:val="both"/>
        <w:rPr>
          <w:rFonts w:ascii="Times New Roman" w:hAnsi="Times New Roman" w:cs="Times New Roman"/>
          <w:iCs/>
          <w:sz w:val="20"/>
          <w:szCs w:val="20"/>
        </w:rPr>
      </w:pPr>
      <w:r w:rsidRPr="005658B9">
        <w:rPr>
          <w:rFonts w:ascii="Times New Roman" w:hAnsi="Times New Roman" w:cs="Times New Roman"/>
          <w:iCs/>
          <w:sz w:val="20"/>
          <w:szCs w:val="20"/>
        </w:rPr>
        <w:t>T</w:t>
      </w:r>
      <w:r w:rsidR="005658B9" w:rsidRPr="005658B9">
        <w:rPr>
          <w:rFonts w:ascii="Times New Roman" w:hAnsi="Times New Roman" w:cs="Times New Roman"/>
          <w:iCs/>
          <w:sz w:val="20"/>
          <w:szCs w:val="20"/>
        </w:rPr>
        <w:t>akahashi</w:t>
      </w:r>
      <w:r w:rsidRPr="005658B9">
        <w:rPr>
          <w:rFonts w:ascii="Times New Roman" w:hAnsi="Times New Roman" w:cs="Times New Roman"/>
          <w:iCs/>
          <w:sz w:val="20"/>
          <w:szCs w:val="20"/>
        </w:rPr>
        <w:t>, K.</w:t>
      </w:r>
      <w:r w:rsidR="005658B9" w:rsidRPr="005658B9">
        <w:rPr>
          <w:rFonts w:ascii="Times New Roman" w:hAnsi="Times New Roman" w:cs="Times New Roman"/>
          <w:iCs/>
          <w:sz w:val="20"/>
          <w:szCs w:val="20"/>
        </w:rPr>
        <w:t>:</w:t>
      </w:r>
      <w:r w:rsidRPr="005658B9">
        <w:rPr>
          <w:rFonts w:ascii="Times New Roman" w:hAnsi="Times New Roman" w:cs="Times New Roman"/>
          <w:iCs/>
          <w:sz w:val="20"/>
          <w:szCs w:val="20"/>
        </w:rPr>
        <w:t xml:space="preserve"> Article Nine of Japan's Constitution: From Renunciation of Armed Force</w:t>
      </w:r>
      <w:r w:rsidR="005658B9" w:rsidRPr="005658B9">
        <w:rPr>
          <w:rFonts w:ascii="Times New Roman" w:hAnsi="Times New Roman" w:cs="Times New Roman"/>
          <w:iCs/>
          <w:sz w:val="20"/>
          <w:szCs w:val="20"/>
        </w:rPr>
        <w:t xml:space="preserve"> </w:t>
      </w:r>
      <w:r w:rsidRPr="005658B9">
        <w:rPr>
          <w:rFonts w:ascii="Times New Roman" w:hAnsi="Times New Roman" w:cs="Times New Roman"/>
          <w:iCs/>
          <w:sz w:val="20"/>
          <w:szCs w:val="20"/>
        </w:rPr>
        <w:t xml:space="preserve">"Forever" to the Third Largest Defense Budget in the World. </w:t>
      </w:r>
      <w:r w:rsidRPr="005658B9">
        <w:rPr>
          <w:rFonts w:ascii="Times New Roman" w:hAnsi="Times New Roman" w:cs="Times New Roman"/>
          <w:i/>
          <w:iCs/>
          <w:sz w:val="20"/>
          <w:szCs w:val="20"/>
        </w:rPr>
        <w:t>Law and Contemporary Problems</w:t>
      </w:r>
      <w:r w:rsidRPr="005658B9">
        <w:rPr>
          <w:rFonts w:ascii="Times New Roman" w:hAnsi="Times New Roman" w:cs="Times New Roman"/>
          <w:iCs/>
          <w:sz w:val="20"/>
          <w:szCs w:val="20"/>
        </w:rPr>
        <w:t>, roč. 53, č. 2, s. 189-192.</w:t>
      </w:r>
    </w:p>
    <w:p w:rsidR="00DF128A" w:rsidRPr="005658B9" w:rsidRDefault="00DF128A" w:rsidP="00F31E15">
      <w:pPr>
        <w:widowControl w:val="0"/>
        <w:spacing w:after="120" w:line="276" w:lineRule="auto"/>
        <w:jc w:val="both"/>
        <w:rPr>
          <w:rFonts w:ascii="Times New Roman" w:hAnsi="Times New Roman" w:cs="Times New Roman"/>
          <w:iCs/>
          <w:sz w:val="20"/>
          <w:szCs w:val="20"/>
        </w:rPr>
      </w:pPr>
      <w:r w:rsidRPr="005658B9">
        <w:rPr>
          <w:rFonts w:ascii="Times New Roman" w:hAnsi="Times New Roman" w:cs="Times New Roman"/>
          <w:iCs/>
          <w:sz w:val="20"/>
          <w:szCs w:val="20"/>
        </w:rPr>
        <w:t>T</w:t>
      </w:r>
      <w:r w:rsidR="005658B9" w:rsidRPr="005658B9">
        <w:rPr>
          <w:rFonts w:ascii="Times New Roman" w:hAnsi="Times New Roman" w:cs="Times New Roman"/>
          <w:iCs/>
          <w:sz w:val="20"/>
          <w:szCs w:val="20"/>
        </w:rPr>
        <w:t>worecki</w:t>
      </w:r>
      <w:r w:rsidRPr="005658B9">
        <w:rPr>
          <w:rFonts w:ascii="Times New Roman" w:hAnsi="Times New Roman" w:cs="Times New Roman"/>
          <w:iCs/>
          <w:sz w:val="20"/>
          <w:szCs w:val="20"/>
        </w:rPr>
        <w:t xml:space="preserve">, H. The polish parliamentary elections of 1993. </w:t>
      </w:r>
      <w:r w:rsidRPr="005658B9">
        <w:rPr>
          <w:rFonts w:ascii="Times New Roman" w:hAnsi="Times New Roman" w:cs="Times New Roman"/>
          <w:i/>
          <w:iCs/>
          <w:sz w:val="20"/>
          <w:szCs w:val="20"/>
        </w:rPr>
        <w:t>Electoral studies</w:t>
      </w:r>
      <w:r w:rsidRPr="005658B9">
        <w:rPr>
          <w:rFonts w:ascii="Times New Roman" w:hAnsi="Times New Roman" w:cs="Times New Roman"/>
          <w:iCs/>
          <w:sz w:val="20"/>
          <w:szCs w:val="20"/>
        </w:rPr>
        <w:t>, roč. 13, č. 2, s. 180-185.</w:t>
      </w:r>
    </w:p>
    <w:p w:rsidR="00DF128A" w:rsidRDefault="00DF128A" w:rsidP="00F31E15">
      <w:pPr>
        <w:widowControl w:val="0"/>
        <w:spacing w:after="120" w:line="276" w:lineRule="auto"/>
        <w:jc w:val="both"/>
        <w:rPr>
          <w:rFonts w:ascii="Times New Roman" w:hAnsi="Times New Roman" w:cs="Times New Roman"/>
          <w:iCs/>
          <w:sz w:val="20"/>
          <w:szCs w:val="20"/>
        </w:rPr>
      </w:pPr>
      <w:r w:rsidRPr="005658B9">
        <w:rPr>
          <w:rFonts w:ascii="Times New Roman" w:hAnsi="Times New Roman" w:cs="Times New Roman"/>
          <w:iCs/>
          <w:sz w:val="20"/>
          <w:szCs w:val="20"/>
        </w:rPr>
        <w:t>S</w:t>
      </w:r>
      <w:r w:rsidR="005658B9" w:rsidRPr="005658B9">
        <w:rPr>
          <w:rFonts w:ascii="Times New Roman" w:hAnsi="Times New Roman" w:cs="Times New Roman"/>
          <w:iCs/>
          <w:sz w:val="20"/>
          <w:szCs w:val="20"/>
        </w:rPr>
        <w:t>pary</w:t>
      </w:r>
      <w:r w:rsidRPr="005658B9">
        <w:rPr>
          <w:rFonts w:ascii="Times New Roman" w:hAnsi="Times New Roman" w:cs="Times New Roman"/>
          <w:iCs/>
          <w:sz w:val="20"/>
          <w:szCs w:val="20"/>
        </w:rPr>
        <w:t>, C., W</w:t>
      </w:r>
      <w:r w:rsidR="005658B9" w:rsidRPr="005658B9">
        <w:rPr>
          <w:rFonts w:ascii="Times New Roman" w:hAnsi="Times New Roman" w:cs="Times New Roman"/>
          <w:iCs/>
          <w:sz w:val="20"/>
          <w:szCs w:val="20"/>
        </w:rPr>
        <w:t>yatt</w:t>
      </w:r>
      <w:r w:rsidRPr="005658B9">
        <w:rPr>
          <w:rFonts w:ascii="Times New Roman" w:hAnsi="Times New Roman" w:cs="Times New Roman"/>
          <w:iCs/>
          <w:sz w:val="20"/>
          <w:szCs w:val="20"/>
        </w:rPr>
        <w:t>, A.</w:t>
      </w:r>
      <w:r w:rsidR="005658B9" w:rsidRPr="005658B9">
        <w:rPr>
          <w:rFonts w:ascii="Times New Roman" w:hAnsi="Times New Roman" w:cs="Times New Roman"/>
          <w:iCs/>
          <w:sz w:val="20"/>
          <w:szCs w:val="20"/>
        </w:rPr>
        <w:t xml:space="preserve"> (2004): The general election in India</w:t>
      </w:r>
      <w:r w:rsidRPr="005658B9">
        <w:rPr>
          <w:rFonts w:ascii="Times New Roman" w:hAnsi="Times New Roman" w:cs="Times New Roman"/>
          <w:iCs/>
          <w:sz w:val="20"/>
          <w:szCs w:val="20"/>
        </w:rPr>
        <w:t xml:space="preserve">. </w:t>
      </w:r>
      <w:r w:rsidRPr="005658B9">
        <w:rPr>
          <w:rFonts w:ascii="Times New Roman" w:hAnsi="Times New Roman" w:cs="Times New Roman"/>
          <w:i/>
          <w:iCs/>
          <w:sz w:val="20"/>
          <w:szCs w:val="20"/>
        </w:rPr>
        <w:t>Electoral studies</w:t>
      </w:r>
      <w:r w:rsidRPr="005658B9">
        <w:rPr>
          <w:rFonts w:ascii="Times New Roman" w:hAnsi="Times New Roman" w:cs="Times New Roman"/>
          <w:iCs/>
          <w:sz w:val="20"/>
          <w:szCs w:val="20"/>
        </w:rPr>
        <w:t>, roč. 24, č. 2, s. 319-326.</w:t>
      </w:r>
    </w:p>
    <w:p w:rsidR="00BC5C10" w:rsidRPr="005658B9" w:rsidRDefault="00BC5C10" w:rsidP="00BC5C10">
      <w:pPr>
        <w:widowControl w:val="0"/>
        <w:spacing w:after="120" w:line="276" w:lineRule="auto"/>
        <w:jc w:val="both"/>
        <w:rPr>
          <w:rFonts w:ascii="Times New Roman" w:hAnsi="Times New Roman" w:cs="Times New Roman"/>
          <w:iCs/>
          <w:sz w:val="20"/>
          <w:szCs w:val="20"/>
        </w:rPr>
      </w:pPr>
      <w:r w:rsidRPr="0012130E">
        <w:rPr>
          <w:rFonts w:ascii="Times New Roman" w:hAnsi="Times New Roman" w:cs="Times New Roman"/>
          <w:i/>
          <w:iCs/>
          <w:sz w:val="20"/>
          <w:szCs w:val="20"/>
        </w:rPr>
        <w:t>Baeumont, A.: People's Party accused of "racist" campaign</w:t>
      </w:r>
      <w:r w:rsidRPr="005658B9">
        <w:rPr>
          <w:rFonts w:ascii="Times New Roman" w:hAnsi="Times New Roman" w:cs="Times New Roman"/>
          <w:iCs/>
          <w:sz w:val="20"/>
          <w:szCs w:val="20"/>
        </w:rPr>
        <w:t xml:space="preserve">. Swissinfo </w:t>
      </w:r>
      <w:r w:rsidRPr="0012130E">
        <w:rPr>
          <w:rFonts w:ascii="Times New Roman" w:hAnsi="Times New Roman" w:cs="Times New Roman"/>
          <w:sz w:val="20"/>
          <w:szCs w:val="20"/>
        </w:rPr>
        <w:t xml:space="preserve">[cit. 20. července 2011]. Dostupný online </w:t>
      </w:r>
      <w:r w:rsidRPr="0012130E">
        <w:rPr>
          <w:rFonts w:ascii="Times New Roman" w:hAnsi="Times New Roman" w:cs="Times New Roman"/>
          <w:iCs/>
          <w:sz w:val="20"/>
          <w:szCs w:val="20"/>
        </w:rPr>
        <w:t>&lt;</w:t>
      </w:r>
      <w:hyperlink r:id="rId40" w:history="1">
        <w:r w:rsidRPr="005658B9">
          <w:rPr>
            <w:rFonts w:ascii="Times New Roman" w:hAnsi="Times New Roman" w:cs="Times New Roman"/>
            <w:iCs/>
            <w:sz w:val="20"/>
            <w:szCs w:val="20"/>
          </w:rPr>
          <w:t>http://www.swissinfo.org/eng/swissinfo.html?siteSect=43&amp;sid=8156064</w:t>
        </w:r>
      </w:hyperlink>
      <w:r w:rsidRPr="00BC5C10">
        <w:rPr>
          <w:rFonts w:ascii="Times New Roman" w:hAnsi="Times New Roman" w:cs="Times New Roman"/>
          <w:iCs/>
          <w:sz w:val="20"/>
          <w:szCs w:val="20"/>
        </w:rPr>
        <w:t>&gt;</w:t>
      </w:r>
      <w:r>
        <w:rPr>
          <w:rFonts w:ascii="Times New Roman" w:hAnsi="Times New Roman" w:cs="Times New Roman"/>
          <w:iCs/>
          <w:sz w:val="20"/>
          <w:szCs w:val="20"/>
        </w:rPr>
        <w:t>.</w:t>
      </w:r>
    </w:p>
    <w:p w:rsidR="00BC5C10" w:rsidRPr="005658B9" w:rsidRDefault="00BC5C10" w:rsidP="00BC5C10">
      <w:pPr>
        <w:widowControl w:val="0"/>
        <w:spacing w:after="120" w:line="276" w:lineRule="auto"/>
        <w:jc w:val="both"/>
        <w:rPr>
          <w:rFonts w:ascii="Times New Roman" w:hAnsi="Times New Roman" w:cs="Times New Roman"/>
          <w:sz w:val="24"/>
          <w:szCs w:val="24"/>
        </w:rPr>
      </w:pPr>
      <w:r w:rsidRPr="0012130E">
        <w:rPr>
          <w:rFonts w:ascii="Times New Roman" w:hAnsi="Times New Roman" w:cs="Times New Roman"/>
          <w:i/>
          <w:iCs/>
          <w:sz w:val="20"/>
          <w:szCs w:val="20"/>
        </w:rPr>
        <w:t>Lob: Election campaigners go on spending spree.</w:t>
      </w:r>
      <w:r w:rsidRPr="005658B9">
        <w:rPr>
          <w:rFonts w:ascii="Times New Roman" w:hAnsi="Times New Roman" w:cs="Times New Roman"/>
          <w:iCs/>
          <w:sz w:val="20"/>
          <w:szCs w:val="20"/>
        </w:rPr>
        <w:t xml:space="preserve"> Swissinfo</w:t>
      </w:r>
      <w:r>
        <w:rPr>
          <w:rFonts w:ascii="Times New Roman" w:hAnsi="Times New Roman" w:cs="Times New Roman"/>
          <w:iCs/>
          <w:sz w:val="20"/>
          <w:szCs w:val="20"/>
        </w:rPr>
        <w:t>.</w:t>
      </w:r>
      <w:r w:rsidRPr="0012130E">
        <w:rPr>
          <w:rFonts w:ascii="Times New Roman" w:hAnsi="Times New Roman" w:cs="Times New Roman"/>
          <w:sz w:val="20"/>
          <w:szCs w:val="20"/>
        </w:rPr>
        <w:t xml:space="preserve"> [cit. 20. července 2011]. Dostupný online </w:t>
      </w:r>
      <w:r w:rsidRPr="0012130E">
        <w:rPr>
          <w:rFonts w:ascii="Times New Roman" w:hAnsi="Times New Roman" w:cs="Times New Roman"/>
          <w:iCs/>
          <w:sz w:val="20"/>
          <w:szCs w:val="20"/>
        </w:rPr>
        <w:t>&lt;</w:t>
      </w:r>
      <w:hyperlink r:id="rId41" w:history="1">
        <w:r w:rsidRPr="005658B9">
          <w:rPr>
            <w:rFonts w:ascii="Times New Roman" w:hAnsi="Times New Roman" w:cs="Times New Roman"/>
            <w:iCs/>
            <w:sz w:val="20"/>
            <w:szCs w:val="20"/>
          </w:rPr>
          <w:t>http://www.swissinfo.ch/eng/swissinfo.html?siteSect=105&amp;sid=8320557</w:t>
        </w:r>
      </w:hyperlink>
      <w:r w:rsidRPr="00BC5C10">
        <w:rPr>
          <w:rFonts w:ascii="Times New Roman" w:hAnsi="Times New Roman" w:cs="Times New Roman"/>
          <w:iCs/>
          <w:sz w:val="20"/>
          <w:szCs w:val="20"/>
        </w:rPr>
        <w:t>&gt;</w:t>
      </w:r>
      <w:r>
        <w:rPr>
          <w:rFonts w:ascii="Times New Roman" w:hAnsi="Times New Roman" w:cs="Times New Roman"/>
          <w:iCs/>
          <w:sz w:val="20"/>
          <w:szCs w:val="20"/>
        </w:rPr>
        <w:t>.</w:t>
      </w:r>
    </w:p>
    <w:p w:rsidR="00BC5C10" w:rsidRPr="005658B9" w:rsidRDefault="00BC5C10" w:rsidP="00BC5C10">
      <w:pPr>
        <w:widowControl w:val="0"/>
        <w:spacing w:after="120" w:line="276" w:lineRule="auto"/>
        <w:jc w:val="both"/>
        <w:rPr>
          <w:rFonts w:ascii="Times New Roman" w:hAnsi="Times New Roman" w:cs="Times New Roman"/>
          <w:iCs/>
          <w:sz w:val="20"/>
          <w:szCs w:val="20"/>
        </w:rPr>
      </w:pPr>
      <w:r w:rsidRPr="0012130E">
        <w:rPr>
          <w:rFonts w:ascii="Times New Roman" w:hAnsi="Times New Roman" w:cs="Times New Roman"/>
          <w:i/>
          <w:iCs/>
          <w:sz w:val="20"/>
          <w:szCs w:val="20"/>
        </w:rPr>
        <w:t>Raaflaub,</w:t>
      </w:r>
      <w:r>
        <w:rPr>
          <w:rFonts w:ascii="Times New Roman" w:hAnsi="Times New Roman" w:cs="Times New Roman"/>
          <w:i/>
          <w:iCs/>
          <w:sz w:val="20"/>
          <w:szCs w:val="20"/>
        </w:rPr>
        <w:t xml:space="preserve"> </w:t>
      </w:r>
      <w:r w:rsidRPr="0012130E">
        <w:rPr>
          <w:rFonts w:ascii="Times New Roman" w:hAnsi="Times New Roman" w:cs="Times New Roman"/>
          <w:i/>
          <w:iCs/>
          <w:sz w:val="20"/>
          <w:szCs w:val="20"/>
        </w:rPr>
        <w:t>CH.:</w:t>
      </w:r>
      <w:r w:rsidRPr="005658B9">
        <w:rPr>
          <w:rFonts w:ascii="Times New Roman" w:hAnsi="Times New Roman" w:cs="Times New Roman"/>
          <w:iCs/>
          <w:sz w:val="20"/>
          <w:szCs w:val="20"/>
        </w:rPr>
        <w:t xml:space="preserve"> </w:t>
      </w:r>
      <w:r w:rsidRPr="0012130E">
        <w:rPr>
          <w:rFonts w:ascii="Times New Roman" w:hAnsi="Times New Roman" w:cs="Times New Roman"/>
          <w:i/>
          <w:iCs/>
          <w:sz w:val="20"/>
          <w:szCs w:val="20"/>
        </w:rPr>
        <w:t>How parliamentary elections work</w:t>
      </w:r>
      <w:r w:rsidRPr="0012130E">
        <w:rPr>
          <w:rFonts w:ascii="Times New Roman" w:hAnsi="Times New Roman" w:cs="Times New Roman"/>
          <w:iCs/>
          <w:sz w:val="20"/>
          <w:szCs w:val="20"/>
        </w:rPr>
        <w:t xml:space="preserve"> </w:t>
      </w:r>
      <w:r w:rsidRPr="005658B9">
        <w:rPr>
          <w:rFonts w:ascii="Times New Roman" w:hAnsi="Times New Roman" w:cs="Times New Roman"/>
          <w:iCs/>
          <w:sz w:val="20"/>
          <w:szCs w:val="20"/>
        </w:rPr>
        <w:t xml:space="preserve">Swissinfo. </w:t>
      </w:r>
      <w:r w:rsidRPr="0012130E">
        <w:rPr>
          <w:rFonts w:ascii="Times New Roman" w:hAnsi="Times New Roman" w:cs="Times New Roman"/>
          <w:sz w:val="20"/>
          <w:szCs w:val="20"/>
        </w:rPr>
        <w:t xml:space="preserve">[cit. 20. července 2011]. Dostupný online </w:t>
      </w:r>
      <w:r w:rsidRPr="0012130E">
        <w:rPr>
          <w:rFonts w:ascii="Times New Roman" w:hAnsi="Times New Roman" w:cs="Times New Roman"/>
          <w:iCs/>
          <w:sz w:val="20"/>
          <w:szCs w:val="20"/>
        </w:rPr>
        <w:t>&lt;</w:t>
      </w:r>
      <w:hyperlink r:id="rId42" w:history="1">
        <w:r w:rsidRPr="005658B9">
          <w:rPr>
            <w:rFonts w:ascii="Times New Roman" w:hAnsi="Times New Roman" w:cs="Times New Roman"/>
            <w:iCs/>
            <w:sz w:val="20"/>
            <w:szCs w:val="20"/>
          </w:rPr>
          <w:t>http://www.swissinfo.org/eng/swissinfo.html?siteSect=43&amp;sid=7875915</w:t>
        </w:r>
      </w:hyperlink>
      <w:r w:rsidRPr="00BC5C10">
        <w:rPr>
          <w:rFonts w:ascii="Times New Roman" w:hAnsi="Times New Roman" w:cs="Times New Roman"/>
          <w:iCs/>
          <w:sz w:val="20"/>
          <w:szCs w:val="20"/>
        </w:rPr>
        <w:t>&gt;</w:t>
      </w:r>
      <w:r>
        <w:rPr>
          <w:rFonts w:ascii="Times New Roman" w:hAnsi="Times New Roman" w:cs="Times New Roman"/>
          <w:iCs/>
          <w:sz w:val="20"/>
          <w:szCs w:val="20"/>
        </w:rPr>
        <w:t>.</w:t>
      </w:r>
    </w:p>
    <w:p w:rsidR="00BC5C10" w:rsidRPr="005658B9" w:rsidRDefault="00BC5C10" w:rsidP="00BC5C10">
      <w:pPr>
        <w:widowControl w:val="0"/>
        <w:spacing w:after="120" w:line="276" w:lineRule="auto"/>
        <w:jc w:val="both"/>
        <w:rPr>
          <w:rFonts w:ascii="Times New Roman" w:hAnsi="Times New Roman" w:cs="Times New Roman"/>
          <w:iCs/>
          <w:sz w:val="20"/>
          <w:szCs w:val="20"/>
        </w:rPr>
      </w:pPr>
      <w:r w:rsidRPr="00BC5C10">
        <w:rPr>
          <w:rFonts w:ascii="Times New Roman" w:hAnsi="Times New Roman" w:cs="Times New Roman"/>
          <w:i/>
          <w:iCs/>
          <w:sz w:val="20"/>
          <w:szCs w:val="20"/>
        </w:rPr>
        <w:t xml:space="preserve">Raaflaub, CH. a kol: </w:t>
      </w:r>
      <w:hyperlink r:id="rId43" w:history="1">
        <w:r w:rsidRPr="00BC5C10">
          <w:rPr>
            <w:rFonts w:ascii="Times New Roman" w:hAnsi="Times New Roman" w:cs="Times New Roman"/>
            <w:i/>
            <w:iCs/>
            <w:sz w:val="20"/>
            <w:szCs w:val="20"/>
          </w:rPr>
          <w:t>How the Voting System Works (Flash Animation)</w:t>
        </w:r>
      </w:hyperlink>
      <w:r w:rsidRPr="005658B9">
        <w:rPr>
          <w:rFonts w:ascii="Times New Roman" w:hAnsi="Times New Roman" w:cs="Times New Roman"/>
          <w:iCs/>
          <w:sz w:val="20"/>
          <w:szCs w:val="20"/>
        </w:rPr>
        <w:t>,</w:t>
      </w:r>
      <w:r>
        <w:rPr>
          <w:rFonts w:ascii="Times New Roman" w:hAnsi="Times New Roman" w:cs="Times New Roman"/>
          <w:iCs/>
          <w:sz w:val="20"/>
          <w:szCs w:val="20"/>
        </w:rPr>
        <w:t xml:space="preserve"> Swissinfo.</w:t>
      </w:r>
      <w:r w:rsidRPr="005658B9">
        <w:rPr>
          <w:rFonts w:ascii="Times New Roman" w:hAnsi="Times New Roman" w:cs="Times New Roman"/>
          <w:iCs/>
          <w:sz w:val="20"/>
          <w:szCs w:val="20"/>
        </w:rPr>
        <w:t xml:space="preserve"> </w:t>
      </w:r>
      <w:r w:rsidRPr="0012130E">
        <w:rPr>
          <w:rFonts w:ascii="Times New Roman" w:hAnsi="Times New Roman" w:cs="Times New Roman"/>
          <w:sz w:val="20"/>
          <w:szCs w:val="20"/>
        </w:rPr>
        <w:t xml:space="preserve">[cit. 20. července 2011]. Dostupný online </w:t>
      </w:r>
      <w:r w:rsidRPr="0012130E">
        <w:rPr>
          <w:rFonts w:ascii="Times New Roman" w:hAnsi="Times New Roman" w:cs="Times New Roman"/>
          <w:iCs/>
          <w:sz w:val="20"/>
          <w:szCs w:val="20"/>
        </w:rPr>
        <w:t>&lt;</w:t>
      </w:r>
      <w:hyperlink r:id="rId44" w:history="1">
        <w:r w:rsidRPr="005658B9">
          <w:rPr>
            <w:rFonts w:ascii="Times New Roman" w:hAnsi="Times New Roman" w:cs="Times New Roman"/>
            <w:iCs/>
            <w:sz w:val="20"/>
            <w:szCs w:val="20"/>
          </w:rPr>
          <w:t>http://www.swissinfo.ch/eng/elections/parliamentary_elections_2003.html?siteSect=21294</w:t>
        </w:r>
      </w:hyperlink>
      <w:r w:rsidRPr="00BC5C10">
        <w:rPr>
          <w:rFonts w:ascii="Times New Roman" w:hAnsi="Times New Roman" w:cs="Times New Roman"/>
          <w:iCs/>
          <w:sz w:val="20"/>
          <w:szCs w:val="20"/>
        </w:rPr>
        <w:t>&gt;</w:t>
      </w:r>
      <w:r>
        <w:rPr>
          <w:rFonts w:ascii="Times New Roman" w:hAnsi="Times New Roman" w:cs="Times New Roman"/>
          <w:iCs/>
          <w:sz w:val="20"/>
          <w:szCs w:val="20"/>
        </w:rPr>
        <w:t>.</w:t>
      </w:r>
    </w:p>
    <w:p w:rsidR="00BC5C10" w:rsidRPr="005658B9" w:rsidRDefault="00BC5C10" w:rsidP="00BC5C10">
      <w:pPr>
        <w:widowControl w:val="0"/>
        <w:spacing w:after="120" w:line="276" w:lineRule="auto"/>
        <w:jc w:val="both"/>
        <w:rPr>
          <w:rFonts w:ascii="Times New Roman" w:hAnsi="Times New Roman" w:cs="Times New Roman"/>
          <w:iCs/>
          <w:sz w:val="20"/>
          <w:szCs w:val="20"/>
        </w:rPr>
      </w:pPr>
      <w:r w:rsidRPr="005658B9">
        <w:rPr>
          <w:rFonts w:ascii="Times New Roman" w:hAnsi="Times New Roman" w:cs="Times New Roman"/>
          <w:iCs/>
          <w:sz w:val="20"/>
          <w:szCs w:val="20"/>
        </w:rPr>
        <w:t>S</w:t>
      </w:r>
      <w:r>
        <w:rPr>
          <w:rFonts w:ascii="Times New Roman" w:hAnsi="Times New Roman" w:cs="Times New Roman"/>
          <w:iCs/>
          <w:sz w:val="20"/>
          <w:szCs w:val="20"/>
        </w:rPr>
        <w:t>oda</w:t>
      </w:r>
      <w:r w:rsidRPr="005658B9">
        <w:rPr>
          <w:rFonts w:ascii="Times New Roman" w:hAnsi="Times New Roman" w:cs="Times New Roman"/>
          <w:iCs/>
          <w:sz w:val="20"/>
          <w:szCs w:val="20"/>
        </w:rPr>
        <w:t xml:space="preserve">, K.: </w:t>
      </w:r>
      <w:r w:rsidRPr="005658B9">
        <w:rPr>
          <w:rFonts w:ascii="Times New Roman" w:hAnsi="Times New Roman" w:cs="Times New Roman"/>
          <w:i/>
          <w:iCs/>
          <w:sz w:val="20"/>
          <w:szCs w:val="20"/>
        </w:rPr>
        <w:t>Campaign! The Kawasaki candidate</w:t>
      </w:r>
      <w:r w:rsidRPr="005658B9">
        <w:rPr>
          <w:rFonts w:ascii="Times New Roman" w:hAnsi="Times New Roman" w:cs="Times New Roman"/>
          <w:iCs/>
          <w:sz w:val="20"/>
          <w:szCs w:val="20"/>
        </w:rPr>
        <w:t xml:space="preserve">. Film, </w:t>
      </w:r>
      <w:r w:rsidRPr="0012130E">
        <w:rPr>
          <w:rFonts w:ascii="Times New Roman" w:hAnsi="Times New Roman" w:cs="Times New Roman"/>
          <w:sz w:val="20"/>
          <w:szCs w:val="20"/>
        </w:rPr>
        <w:t xml:space="preserve">[cit. 20. července 2011]. Dostupný online </w:t>
      </w:r>
      <w:r w:rsidRPr="0012130E">
        <w:rPr>
          <w:rFonts w:ascii="Times New Roman" w:hAnsi="Times New Roman" w:cs="Times New Roman"/>
          <w:iCs/>
          <w:sz w:val="20"/>
          <w:szCs w:val="20"/>
        </w:rPr>
        <w:t>&lt;</w:t>
      </w:r>
      <w:r w:rsidRPr="005658B9">
        <w:rPr>
          <w:rFonts w:ascii="Times New Roman" w:hAnsi="Times New Roman" w:cs="Times New Roman"/>
          <w:iCs/>
          <w:sz w:val="20"/>
          <w:szCs w:val="20"/>
        </w:rPr>
        <w:t>http://www.whydemocracy.net/film/5 &gt;</w:t>
      </w:r>
      <w:r>
        <w:rPr>
          <w:rFonts w:ascii="Times New Roman" w:hAnsi="Times New Roman" w:cs="Times New Roman"/>
          <w:iCs/>
          <w:sz w:val="20"/>
          <w:szCs w:val="20"/>
        </w:rPr>
        <w:t>.</w:t>
      </w:r>
    </w:p>
    <w:p w:rsidR="0012130E" w:rsidRPr="005658B9" w:rsidRDefault="0012130E" w:rsidP="00F31E15">
      <w:pPr>
        <w:widowControl w:val="0"/>
        <w:spacing w:after="120" w:line="276" w:lineRule="auto"/>
        <w:jc w:val="both"/>
        <w:rPr>
          <w:rFonts w:ascii="Times New Roman" w:hAnsi="Times New Roman" w:cs="Times New Roman"/>
          <w:iCs/>
          <w:sz w:val="20"/>
          <w:szCs w:val="20"/>
        </w:rPr>
      </w:pPr>
    </w:p>
    <w:p w:rsidR="00DF128A" w:rsidRPr="00F31E15" w:rsidRDefault="00DF128A" w:rsidP="00F31E15">
      <w:pPr>
        <w:widowControl w:val="0"/>
        <w:spacing w:after="120" w:line="276" w:lineRule="auto"/>
        <w:jc w:val="both"/>
        <w:rPr>
          <w:rFonts w:ascii="Times New Roman" w:hAnsi="Times New Roman" w:cs="Times New Roman"/>
          <w:iCs/>
          <w:sz w:val="20"/>
          <w:szCs w:val="20"/>
        </w:rPr>
      </w:pPr>
      <w:r w:rsidRPr="00F31E15">
        <w:rPr>
          <w:rFonts w:ascii="Times New Roman" w:hAnsi="Times New Roman" w:cs="Times New Roman"/>
          <w:iCs/>
          <w:sz w:val="20"/>
          <w:szCs w:val="20"/>
        </w:rPr>
        <w:br w:type="page"/>
      </w:r>
    </w:p>
    <w:p w:rsidR="00DF128A" w:rsidRPr="008843BB" w:rsidRDefault="00DF128A" w:rsidP="009B5078">
      <w:pPr>
        <w:pStyle w:val="Nadpis1"/>
        <w:ind w:firstLine="0"/>
      </w:pPr>
      <w:bookmarkStart w:id="53" w:name="_Toc331023979"/>
      <w:r w:rsidRPr="008843BB">
        <w:lastRenderedPageBreak/>
        <w:t>SVĚTOVÝ OBCHOD S BANÁNY</w:t>
      </w:r>
      <w:bookmarkEnd w:id="53"/>
    </w:p>
    <w:p w:rsidR="008843BB" w:rsidRPr="008843BB" w:rsidRDefault="008843BB" w:rsidP="009B5078">
      <w:pPr>
        <w:widowControl w:val="0"/>
        <w:spacing w:line="276" w:lineRule="auto"/>
        <w:ind w:firstLine="709"/>
        <w:jc w:val="center"/>
        <w:rPr>
          <w:rFonts w:ascii="Times New Roman" w:hAnsi="Times New Roman" w:cs="Times New Roman"/>
          <w:sz w:val="24"/>
          <w:szCs w:val="24"/>
        </w:rPr>
      </w:pPr>
    </w:p>
    <w:p w:rsidR="00DF128A" w:rsidRPr="008843BB" w:rsidRDefault="00DF128A" w:rsidP="009B5078">
      <w:pPr>
        <w:widowControl w:val="0"/>
        <w:spacing w:line="276" w:lineRule="auto"/>
        <w:jc w:val="center"/>
        <w:rPr>
          <w:rFonts w:ascii="Times New Roman" w:hAnsi="Times New Roman" w:cs="Times New Roman"/>
          <w:i/>
          <w:sz w:val="24"/>
          <w:szCs w:val="24"/>
        </w:rPr>
      </w:pPr>
      <w:r w:rsidRPr="008843BB">
        <w:rPr>
          <w:rFonts w:ascii="Times New Roman" w:hAnsi="Times New Roman" w:cs="Times New Roman"/>
          <w:i/>
          <w:sz w:val="24"/>
          <w:szCs w:val="24"/>
        </w:rPr>
        <w:t>Andrea V</w:t>
      </w:r>
      <w:r w:rsidR="00BC5C10">
        <w:rPr>
          <w:rFonts w:ascii="Times New Roman" w:hAnsi="Times New Roman" w:cs="Times New Roman"/>
          <w:i/>
          <w:sz w:val="24"/>
          <w:szCs w:val="24"/>
        </w:rPr>
        <w:t>lčková</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128A" w:rsidP="008843BB">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Ú</w:t>
      </w:r>
      <w:r w:rsidR="00E20A69">
        <w:rPr>
          <w:rFonts w:ascii="Times New Roman" w:hAnsi="Times New Roman" w:cs="Times New Roman"/>
          <w:b/>
          <w:sz w:val="24"/>
          <w:szCs w:val="24"/>
        </w:rPr>
        <w:t>vod</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Banány jsou nejpopulárnějším ovocem na světě a také nejčastěji obchodovanou komoditou (po ropě). Banány jsou po rýži, pšenici a kukuřici čtvrtou nejkonzumovanější plodinou na planetě. V mnoha rozvojových zemích právě toto ovoce zajišťuje obživu obyvatelstva (banány mají vysokou energetickou hodnotu a najdeme v nich zejména vitaminy skupiny B, také vitamin A  a z minerálních látek velice prospěšný hořčík, vápník, fosfor a draslík).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Tato seminární práce se v první části bude zabývat geografií světové produkce, exportem a importem banánů. Stěžejní částí je analýza důsledků (environmentální, sociální, politické, ekonomické) světového obchodu s banány. Nejprve se bude jednat o obecnou charakteristiku důsledků (kap. 3.) a následně o dopady banánového obchodu na zmiňované složky v jednotlivých produkčních regionech (Latinská Amerika, Afrika, Evropa, Karibská oblast). Informace byly čerpány z různých zdrojů, tak aby nebyl pohled na danou problematiku jednostranný.</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E20A69" w:rsidP="008843BB">
      <w:pPr>
        <w:widowControl w:val="0"/>
        <w:spacing w:line="276" w:lineRule="auto"/>
        <w:jc w:val="both"/>
        <w:rPr>
          <w:rFonts w:ascii="Times New Roman" w:hAnsi="Times New Roman" w:cs="Times New Roman"/>
          <w:b/>
          <w:sz w:val="24"/>
          <w:szCs w:val="24"/>
        </w:rPr>
      </w:pPr>
      <w:r>
        <w:rPr>
          <w:rFonts w:ascii="Times New Roman" w:hAnsi="Times New Roman" w:cs="Times New Roman"/>
          <w:b/>
          <w:sz w:val="24"/>
          <w:szCs w:val="24"/>
        </w:rPr>
        <w:t>Světový obchod</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color w:val="000000"/>
          <w:sz w:val="24"/>
          <w:szCs w:val="24"/>
        </w:rPr>
      </w:pPr>
      <w:r w:rsidRPr="00DF128A">
        <w:rPr>
          <w:rFonts w:ascii="Times New Roman" w:hAnsi="Times New Roman" w:cs="Times New Roman"/>
          <w:color w:val="000000"/>
          <w:sz w:val="24"/>
          <w:szCs w:val="24"/>
        </w:rPr>
        <w:t>Celosvětová produkce banánů činí v roce 2005, podle statistik FAO, kolem 70 milionů tun, převážně koncentrovaných v Africe, Asii, Karibském regionu a Latinské Americe. Kolem 98 % světové produkce banánů je koncentrováno v rozvojových zemích. V roce 2005 celková produkce banánů byla lokalizována ve 130 zemích světa. 10 nejvýznamnějších produkčních zemí (které jsou uvedeny v tab. 1) tvoří asi 75 % celkové produkce banánů v roce 2005. Indie, Ekvádor, Brazílie a Čína vyprodukovaly v roce 2005 polovinu celosvětově vypěstovaných banánů. Zatímco latinskoamerický a karibský region vládl v produkci banánů již v osmdesátých letech, asijský region se ujal vedení v produkci banánu během devadesátých let. (FAO 2005)</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color w:val="000000"/>
          <w:sz w:val="24"/>
          <w:szCs w:val="24"/>
        </w:rPr>
        <w:t xml:space="preserve">Pokud bychom porovnali produkci banánů v roce 1990 a 2005 zjistíme, že Indie si udržela první příčku v produkci banánů, avšak rozdíl je v množství. Za patnáct let se produkce banánů v Indii více než zdvojnásobila, což je dáno </w:t>
      </w:r>
      <w:r w:rsidRPr="00DF128A">
        <w:rPr>
          <w:rFonts w:ascii="Times New Roman" w:hAnsi="Times New Roman" w:cs="Times New Roman"/>
          <w:sz w:val="24"/>
          <w:szCs w:val="24"/>
        </w:rPr>
        <w:t>potřebou nasytit rostoucí populaci. K velkému nárůstu produkce v roce 2005 došlo v Číně a na Filipínách. V Číně se produkce více než zčtyřnásobila oproti roku 1990, a na Filipínách zdvojnásobila. Čína a Filipíny dohnaly tradiční pěstitele banánů jako je Brazílie a Indie. Naopak u některých regionů došlo za patnáct let ke stagnaci či dokonce poklesu produkce – jako například v Burundi, Vietnamu, Venezuele nebo Panamě.</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p>
    <w:p w:rsidR="00E20A69" w:rsidRDefault="00E20A69">
      <w:pPr>
        <w:rPr>
          <w:rFonts w:ascii="Times New Roman" w:hAnsi="Times New Roman" w:cs="Times New Roman"/>
          <w:b/>
          <w:color w:val="000000"/>
          <w:sz w:val="24"/>
          <w:szCs w:val="24"/>
        </w:rPr>
      </w:pPr>
      <w:r>
        <w:rPr>
          <w:rFonts w:ascii="Times New Roman" w:hAnsi="Times New Roman" w:cs="Times New Roman"/>
          <w:b/>
          <w:color w:val="000000"/>
          <w:sz w:val="24"/>
          <w:szCs w:val="24"/>
        </w:rPr>
        <w:br w:type="page"/>
      </w:r>
    </w:p>
    <w:p w:rsidR="00DF128A" w:rsidRPr="00DF128A" w:rsidRDefault="00DF128A" w:rsidP="008843BB">
      <w:pPr>
        <w:widowControl w:val="0"/>
        <w:autoSpaceDE w:val="0"/>
        <w:autoSpaceDN w:val="0"/>
        <w:adjustRightInd w:val="0"/>
        <w:spacing w:line="276" w:lineRule="auto"/>
        <w:jc w:val="both"/>
        <w:rPr>
          <w:rFonts w:ascii="Times New Roman" w:hAnsi="Times New Roman" w:cs="Times New Roman"/>
          <w:sz w:val="24"/>
          <w:szCs w:val="24"/>
        </w:rPr>
      </w:pPr>
      <w:r w:rsidRPr="00E20A69">
        <w:rPr>
          <w:rFonts w:ascii="Times New Roman" w:hAnsi="Times New Roman" w:cs="Times New Roman"/>
          <w:color w:val="000000"/>
          <w:sz w:val="24"/>
          <w:szCs w:val="24"/>
        </w:rPr>
        <w:lastRenderedPageBreak/>
        <w:t>Tab. 1.</w:t>
      </w:r>
      <w:r w:rsidR="00E20A69">
        <w:rPr>
          <w:rFonts w:ascii="Times New Roman" w:hAnsi="Times New Roman" w:cs="Times New Roman"/>
          <w:color w:val="000000"/>
          <w:sz w:val="24"/>
          <w:szCs w:val="24"/>
        </w:rPr>
        <w:t>:</w:t>
      </w:r>
      <w:r w:rsidRPr="00DF128A">
        <w:rPr>
          <w:rFonts w:ascii="Times New Roman" w:hAnsi="Times New Roman" w:cs="Times New Roman"/>
          <w:color w:val="000000"/>
          <w:sz w:val="24"/>
          <w:szCs w:val="24"/>
        </w:rPr>
        <w:t xml:space="preserve"> Největší producenti (v tis. t) banánů v letech 1990 a 2005.</w:t>
      </w:r>
    </w:p>
    <w:tbl>
      <w:tblPr>
        <w:tblW w:w="5000" w:type="pct"/>
        <w:tblInd w:w="55" w:type="dxa"/>
        <w:tblCellMar>
          <w:left w:w="70" w:type="dxa"/>
          <w:right w:w="70" w:type="dxa"/>
        </w:tblCellMar>
        <w:tblLook w:val="0000" w:firstRow="0" w:lastRow="0" w:firstColumn="0" w:lastColumn="0" w:noHBand="0" w:noVBand="0"/>
      </w:tblPr>
      <w:tblGrid>
        <w:gridCol w:w="1807"/>
        <w:gridCol w:w="1850"/>
        <w:gridCol w:w="1807"/>
        <w:gridCol w:w="1941"/>
        <w:gridCol w:w="1807"/>
      </w:tblGrid>
      <w:tr w:rsidR="00DF128A" w:rsidRPr="00DF128A" w:rsidTr="00DF128A">
        <w:trPr>
          <w:trHeight w:val="222"/>
        </w:trPr>
        <w:tc>
          <w:tcPr>
            <w:tcW w:w="960" w:type="dxa"/>
            <w:vMerge w:val="restart"/>
            <w:tcBorders>
              <w:top w:val="single" w:sz="18" w:space="0" w:color="auto"/>
              <w:left w:val="single" w:sz="18" w:space="0" w:color="auto"/>
              <w:bottom w:val="double" w:sz="6" w:space="0" w:color="000000"/>
              <w:right w:val="double" w:sz="6" w:space="0" w:color="auto"/>
            </w:tcBorders>
            <w:shd w:val="clear" w:color="auto" w:fill="969696"/>
            <w:vAlign w:val="center"/>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Pořadí</w:t>
            </w:r>
          </w:p>
        </w:tc>
        <w:tc>
          <w:tcPr>
            <w:tcW w:w="1920" w:type="dxa"/>
            <w:gridSpan w:val="2"/>
            <w:tcBorders>
              <w:top w:val="single" w:sz="18" w:space="0" w:color="auto"/>
              <w:left w:val="nil"/>
              <w:bottom w:val="single" w:sz="4" w:space="0" w:color="auto"/>
              <w:right w:val="single" w:sz="12" w:space="0" w:color="auto"/>
            </w:tcBorders>
            <w:shd w:val="clear" w:color="auto" w:fill="969696"/>
            <w:vAlign w:val="center"/>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1990</w:t>
            </w:r>
          </w:p>
        </w:tc>
        <w:tc>
          <w:tcPr>
            <w:tcW w:w="1920" w:type="dxa"/>
            <w:gridSpan w:val="2"/>
            <w:tcBorders>
              <w:top w:val="single" w:sz="18" w:space="0" w:color="auto"/>
              <w:left w:val="single" w:sz="12" w:space="0" w:color="auto"/>
              <w:bottom w:val="single" w:sz="4" w:space="0" w:color="auto"/>
              <w:right w:val="single" w:sz="18" w:space="0" w:color="auto"/>
            </w:tcBorders>
            <w:shd w:val="clear" w:color="auto" w:fill="969696"/>
            <w:vAlign w:val="bottom"/>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2005</w:t>
            </w:r>
          </w:p>
        </w:tc>
      </w:tr>
      <w:tr w:rsidR="00DF128A" w:rsidRPr="00DF128A" w:rsidTr="00DF128A">
        <w:trPr>
          <w:trHeight w:val="337"/>
        </w:trPr>
        <w:tc>
          <w:tcPr>
            <w:tcW w:w="960" w:type="dxa"/>
            <w:vMerge/>
            <w:tcBorders>
              <w:top w:val="single" w:sz="12" w:space="0" w:color="auto"/>
              <w:left w:val="single" w:sz="18" w:space="0" w:color="auto"/>
              <w:bottom w:val="double" w:sz="6" w:space="0" w:color="000000"/>
              <w:right w:val="double" w:sz="6" w:space="0" w:color="auto"/>
            </w:tcBorders>
            <w:shd w:val="clear" w:color="auto" w:fill="auto"/>
            <w:vAlign w:val="center"/>
          </w:tcPr>
          <w:p w:rsidR="00DF128A" w:rsidRPr="008843BB" w:rsidRDefault="00DF128A" w:rsidP="008843BB">
            <w:pPr>
              <w:widowControl w:val="0"/>
              <w:spacing w:line="276" w:lineRule="auto"/>
              <w:jc w:val="both"/>
              <w:rPr>
                <w:rFonts w:cstheme="minorHAnsi"/>
                <w:b/>
                <w:bCs/>
                <w:sz w:val="20"/>
                <w:szCs w:val="20"/>
              </w:rPr>
            </w:pPr>
          </w:p>
        </w:tc>
        <w:tc>
          <w:tcPr>
            <w:tcW w:w="960" w:type="dxa"/>
            <w:vMerge w:val="restart"/>
            <w:tcBorders>
              <w:top w:val="nil"/>
              <w:left w:val="double" w:sz="6" w:space="0" w:color="auto"/>
              <w:bottom w:val="double" w:sz="6" w:space="0" w:color="000000"/>
              <w:right w:val="single" w:sz="4" w:space="0" w:color="auto"/>
            </w:tcBorders>
            <w:shd w:val="clear" w:color="auto" w:fill="C0C0C0"/>
            <w:vAlign w:val="center"/>
          </w:tcPr>
          <w:p w:rsidR="00DF128A" w:rsidRPr="008843BB" w:rsidRDefault="00DF128A" w:rsidP="008843BB">
            <w:pPr>
              <w:widowControl w:val="0"/>
              <w:spacing w:line="276" w:lineRule="auto"/>
              <w:jc w:val="both"/>
              <w:rPr>
                <w:rFonts w:cstheme="minorHAnsi"/>
                <w:i/>
                <w:iCs/>
                <w:sz w:val="20"/>
                <w:szCs w:val="20"/>
              </w:rPr>
            </w:pPr>
            <w:r w:rsidRPr="008843BB">
              <w:rPr>
                <w:rFonts w:cstheme="minorHAnsi"/>
                <w:i/>
                <w:iCs/>
                <w:sz w:val="20"/>
                <w:szCs w:val="20"/>
              </w:rPr>
              <w:t>Stát</w:t>
            </w:r>
          </w:p>
        </w:tc>
        <w:tc>
          <w:tcPr>
            <w:tcW w:w="960" w:type="dxa"/>
            <w:vMerge w:val="restart"/>
            <w:tcBorders>
              <w:top w:val="nil"/>
              <w:left w:val="single" w:sz="4" w:space="0" w:color="auto"/>
              <w:bottom w:val="double" w:sz="6" w:space="0" w:color="000000"/>
              <w:right w:val="single" w:sz="12" w:space="0" w:color="auto"/>
            </w:tcBorders>
            <w:shd w:val="clear" w:color="auto" w:fill="C0C0C0"/>
            <w:vAlign w:val="center"/>
          </w:tcPr>
          <w:p w:rsidR="00DF128A" w:rsidRPr="008843BB" w:rsidRDefault="00DF128A" w:rsidP="008843BB">
            <w:pPr>
              <w:widowControl w:val="0"/>
              <w:spacing w:line="276" w:lineRule="auto"/>
              <w:jc w:val="both"/>
              <w:rPr>
                <w:rFonts w:cstheme="minorHAnsi"/>
                <w:i/>
                <w:iCs/>
                <w:sz w:val="20"/>
                <w:szCs w:val="20"/>
              </w:rPr>
            </w:pPr>
            <w:r w:rsidRPr="008843BB">
              <w:rPr>
                <w:rFonts w:cstheme="minorHAnsi"/>
                <w:i/>
                <w:iCs/>
                <w:sz w:val="20"/>
                <w:szCs w:val="20"/>
              </w:rPr>
              <w:t>Produkce (tis. t)</w:t>
            </w:r>
          </w:p>
        </w:tc>
        <w:tc>
          <w:tcPr>
            <w:tcW w:w="960" w:type="dxa"/>
            <w:vMerge w:val="restart"/>
            <w:tcBorders>
              <w:top w:val="nil"/>
              <w:left w:val="single" w:sz="12" w:space="0" w:color="auto"/>
              <w:bottom w:val="double" w:sz="6" w:space="0" w:color="000000"/>
              <w:right w:val="single" w:sz="4" w:space="0" w:color="auto"/>
            </w:tcBorders>
            <w:shd w:val="clear" w:color="auto" w:fill="C0C0C0"/>
            <w:vAlign w:val="center"/>
          </w:tcPr>
          <w:p w:rsidR="00DF128A" w:rsidRPr="008843BB" w:rsidRDefault="00DF128A" w:rsidP="008843BB">
            <w:pPr>
              <w:widowControl w:val="0"/>
              <w:spacing w:line="276" w:lineRule="auto"/>
              <w:jc w:val="both"/>
              <w:rPr>
                <w:rFonts w:cstheme="minorHAnsi"/>
                <w:i/>
                <w:iCs/>
                <w:sz w:val="20"/>
                <w:szCs w:val="20"/>
              </w:rPr>
            </w:pPr>
            <w:r w:rsidRPr="008843BB">
              <w:rPr>
                <w:rFonts w:cstheme="minorHAnsi"/>
                <w:i/>
                <w:iCs/>
                <w:sz w:val="20"/>
                <w:szCs w:val="20"/>
              </w:rPr>
              <w:t>Stát</w:t>
            </w:r>
          </w:p>
        </w:tc>
        <w:tc>
          <w:tcPr>
            <w:tcW w:w="960" w:type="dxa"/>
            <w:vMerge w:val="restart"/>
            <w:tcBorders>
              <w:top w:val="nil"/>
              <w:left w:val="single" w:sz="4" w:space="0" w:color="auto"/>
              <w:bottom w:val="double" w:sz="6" w:space="0" w:color="000000"/>
              <w:right w:val="single" w:sz="18" w:space="0" w:color="auto"/>
            </w:tcBorders>
            <w:shd w:val="clear" w:color="auto" w:fill="C0C0C0"/>
            <w:vAlign w:val="center"/>
          </w:tcPr>
          <w:p w:rsidR="00DF128A" w:rsidRPr="008843BB" w:rsidRDefault="00DF128A" w:rsidP="008843BB">
            <w:pPr>
              <w:widowControl w:val="0"/>
              <w:spacing w:line="276" w:lineRule="auto"/>
              <w:jc w:val="both"/>
              <w:rPr>
                <w:rFonts w:cstheme="minorHAnsi"/>
                <w:i/>
                <w:iCs/>
                <w:sz w:val="20"/>
                <w:szCs w:val="20"/>
              </w:rPr>
            </w:pPr>
            <w:r w:rsidRPr="008843BB">
              <w:rPr>
                <w:rFonts w:cstheme="minorHAnsi"/>
                <w:i/>
                <w:iCs/>
                <w:sz w:val="20"/>
                <w:szCs w:val="20"/>
              </w:rPr>
              <w:t>Produkce (tis. t)</w:t>
            </w:r>
          </w:p>
        </w:tc>
      </w:tr>
      <w:tr w:rsidR="00DF128A" w:rsidRPr="00DF128A" w:rsidTr="00DF128A">
        <w:trPr>
          <w:trHeight w:val="337"/>
        </w:trPr>
        <w:tc>
          <w:tcPr>
            <w:tcW w:w="960" w:type="dxa"/>
            <w:vMerge/>
            <w:tcBorders>
              <w:top w:val="single" w:sz="12" w:space="0" w:color="auto"/>
              <w:left w:val="single" w:sz="18" w:space="0" w:color="auto"/>
              <w:bottom w:val="double" w:sz="6" w:space="0" w:color="000000"/>
              <w:right w:val="double" w:sz="6" w:space="0" w:color="auto"/>
            </w:tcBorders>
            <w:shd w:val="clear" w:color="auto" w:fill="auto"/>
            <w:vAlign w:val="center"/>
          </w:tcPr>
          <w:p w:rsidR="00DF128A" w:rsidRPr="008843BB" w:rsidRDefault="00DF128A" w:rsidP="008843BB">
            <w:pPr>
              <w:widowControl w:val="0"/>
              <w:spacing w:line="276" w:lineRule="auto"/>
              <w:jc w:val="both"/>
              <w:rPr>
                <w:rFonts w:cstheme="minorHAnsi"/>
                <w:b/>
                <w:bCs/>
                <w:sz w:val="20"/>
                <w:szCs w:val="20"/>
              </w:rPr>
            </w:pPr>
          </w:p>
        </w:tc>
        <w:tc>
          <w:tcPr>
            <w:tcW w:w="960" w:type="dxa"/>
            <w:vMerge/>
            <w:tcBorders>
              <w:top w:val="nil"/>
              <w:left w:val="double" w:sz="6" w:space="0" w:color="auto"/>
              <w:bottom w:val="double" w:sz="6" w:space="0" w:color="000000"/>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i/>
                <w:iCs/>
                <w:sz w:val="20"/>
                <w:szCs w:val="20"/>
              </w:rPr>
            </w:pPr>
          </w:p>
        </w:tc>
        <w:tc>
          <w:tcPr>
            <w:tcW w:w="960" w:type="dxa"/>
            <w:vMerge/>
            <w:tcBorders>
              <w:top w:val="nil"/>
              <w:left w:val="single" w:sz="4" w:space="0" w:color="auto"/>
              <w:bottom w:val="double" w:sz="6" w:space="0" w:color="000000"/>
              <w:right w:val="single" w:sz="12" w:space="0" w:color="auto"/>
            </w:tcBorders>
            <w:shd w:val="clear" w:color="auto" w:fill="auto"/>
            <w:vAlign w:val="center"/>
          </w:tcPr>
          <w:p w:rsidR="00DF128A" w:rsidRPr="008843BB" w:rsidRDefault="00DF128A" w:rsidP="008843BB">
            <w:pPr>
              <w:widowControl w:val="0"/>
              <w:spacing w:line="276" w:lineRule="auto"/>
              <w:jc w:val="both"/>
              <w:rPr>
                <w:rFonts w:cstheme="minorHAnsi"/>
                <w:i/>
                <w:iCs/>
                <w:sz w:val="20"/>
                <w:szCs w:val="20"/>
              </w:rPr>
            </w:pPr>
          </w:p>
        </w:tc>
        <w:tc>
          <w:tcPr>
            <w:tcW w:w="960" w:type="dxa"/>
            <w:vMerge/>
            <w:tcBorders>
              <w:top w:val="nil"/>
              <w:left w:val="single" w:sz="12" w:space="0" w:color="auto"/>
              <w:bottom w:val="double" w:sz="6" w:space="0" w:color="000000"/>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i/>
                <w:iCs/>
                <w:sz w:val="20"/>
                <w:szCs w:val="20"/>
              </w:rPr>
            </w:pPr>
          </w:p>
        </w:tc>
        <w:tc>
          <w:tcPr>
            <w:tcW w:w="960" w:type="dxa"/>
            <w:vMerge/>
            <w:tcBorders>
              <w:top w:val="nil"/>
              <w:left w:val="single" w:sz="4" w:space="0" w:color="auto"/>
              <w:bottom w:val="double" w:sz="6" w:space="0" w:color="000000"/>
              <w:right w:val="single" w:sz="18" w:space="0" w:color="auto"/>
            </w:tcBorders>
            <w:shd w:val="clear" w:color="auto" w:fill="auto"/>
            <w:vAlign w:val="center"/>
          </w:tcPr>
          <w:p w:rsidR="00DF128A" w:rsidRPr="008843BB" w:rsidRDefault="00DF128A" w:rsidP="008843BB">
            <w:pPr>
              <w:widowControl w:val="0"/>
              <w:spacing w:line="276" w:lineRule="auto"/>
              <w:jc w:val="both"/>
              <w:rPr>
                <w:rFonts w:cstheme="minorHAnsi"/>
                <w:i/>
                <w:iCs/>
                <w:sz w:val="20"/>
                <w:szCs w:val="20"/>
              </w:rPr>
            </w:pPr>
          </w:p>
        </w:tc>
      </w:tr>
      <w:tr w:rsidR="00DF128A" w:rsidRPr="00DF128A" w:rsidTr="00DF128A">
        <w:trPr>
          <w:trHeight w:val="270"/>
        </w:trPr>
        <w:tc>
          <w:tcPr>
            <w:tcW w:w="960" w:type="dxa"/>
            <w:tcBorders>
              <w:top w:val="nil"/>
              <w:left w:val="single" w:sz="18" w:space="0" w:color="auto"/>
              <w:bottom w:val="single" w:sz="4" w:space="0" w:color="auto"/>
              <w:right w:val="double" w:sz="6" w:space="0" w:color="auto"/>
            </w:tcBorders>
            <w:shd w:val="clear" w:color="auto" w:fill="auto"/>
            <w:noWrap/>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w:t>
            </w:r>
          </w:p>
        </w:tc>
        <w:tc>
          <w:tcPr>
            <w:tcW w:w="960" w:type="dxa"/>
            <w:tcBorders>
              <w:top w:val="nil"/>
              <w:left w:val="nil"/>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Indie</w:t>
            </w:r>
          </w:p>
        </w:tc>
        <w:tc>
          <w:tcPr>
            <w:tcW w:w="960" w:type="dxa"/>
            <w:tcBorders>
              <w:top w:val="nil"/>
              <w:left w:val="nil"/>
              <w:bottom w:val="single" w:sz="4" w:space="0" w:color="auto"/>
              <w:right w:val="single" w:sz="12"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7 153</w:t>
            </w:r>
          </w:p>
        </w:tc>
        <w:tc>
          <w:tcPr>
            <w:tcW w:w="960" w:type="dxa"/>
            <w:tcBorders>
              <w:top w:val="nil"/>
              <w:left w:val="single" w:sz="12" w:space="0" w:color="auto"/>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Indie</w:t>
            </w:r>
          </w:p>
        </w:tc>
        <w:tc>
          <w:tcPr>
            <w:tcW w:w="960" w:type="dxa"/>
            <w:tcBorders>
              <w:top w:val="nil"/>
              <w:left w:val="nil"/>
              <w:bottom w:val="single" w:sz="4" w:space="0" w:color="auto"/>
              <w:right w:val="single" w:sz="18"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16 820</w:t>
            </w:r>
          </w:p>
        </w:tc>
      </w:tr>
      <w:tr w:rsidR="00DF128A" w:rsidRPr="00DF128A" w:rsidTr="00DF128A">
        <w:trPr>
          <w:trHeight w:val="255"/>
        </w:trPr>
        <w:tc>
          <w:tcPr>
            <w:tcW w:w="960" w:type="dxa"/>
            <w:tcBorders>
              <w:top w:val="nil"/>
              <w:left w:val="single" w:sz="18" w:space="0" w:color="auto"/>
              <w:bottom w:val="single" w:sz="4" w:space="0" w:color="auto"/>
              <w:right w:val="double" w:sz="6" w:space="0" w:color="auto"/>
            </w:tcBorders>
            <w:shd w:val="clear" w:color="auto" w:fill="auto"/>
            <w:noWrap/>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2.</w:t>
            </w:r>
          </w:p>
        </w:tc>
        <w:tc>
          <w:tcPr>
            <w:tcW w:w="960" w:type="dxa"/>
            <w:tcBorders>
              <w:top w:val="nil"/>
              <w:left w:val="nil"/>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Brazílie</w:t>
            </w:r>
          </w:p>
        </w:tc>
        <w:tc>
          <w:tcPr>
            <w:tcW w:w="960" w:type="dxa"/>
            <w:tcBorders>
              <w:top w:val="nil"/>
              <w:left w:val="nil"/>
              <w:bottom w:val="single" w:sz="4" w:space="0" w:color="auto"/>
              <w:right w:val="single" w:sz="12"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5 726</w:t>
            </w:r>
          </w:p>
        </w:tc>
        <w:tc>
          <w:tcPr>
            <w:tcW w:w="960" w:type="dxa"/>
            <w:tcBorders>
              <w:top w:val="nil"/>
              <w:left w:val="single" w:sz="12" w:space="0" w:color="auto"/>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Brazílie</w:t>
            </w:r>
          </w:p>
        </w:tc>
        <w:tc>
          <w:tcPr>
            <w:tcW w:w="960" w:type="dxa"/>
            <w:tcBorders>
              <w:top w:val="nil"/>
              <w:left w:val="nil"/>
              <w:bottom w:val="single" w:sz="4" w:space="0" w:color="auto"/>
              <w:right w:val="single" w:sz="18"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6 803</w:t>
            </w:r>
          </w:p>
        </w:tc>
      </w:tr>
      <w:tr w:rsidR="00DF128A" w:rsidRPr="00DF128A" w:rsidTr="00DF128A">
        <w:trPr>
          <w:trHeight w:val="255"/>
        </w:trPr>
        <w:tc>
          <w:tcPr>
            <w:tcW w:w="960" w:type="dxa"/>
            <w:tcBorders>
              <w:top w:val="nil"/>
              <w:left w:val="single" w:sz="18" w:space="0" w:color="auto"/>
              <w:bottom w:val="single" w:sz="4" w:space="0" w:color="auto"/>
              <w:right w:val="double" w:sz="6" w:space="0" w:color="auto"/>
            </w:tcBorders>
            <w:shd w:val="clear" w:color="auto" w:fill="auto"/>
            <w:noWrap/>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3.</w:t>
            </w:r>
          </w:p>
        </w:tc>
        <w:tc>
          <w:tcPr>
            <w:tcW w:w="960" w:type="dxa"/>
            <w:tcBorders>
              <w:top w:val="nil"/>
              <w:left w:val="nil"/>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Ekvádor</w:t>
            </w:r>
          </w:p>
        </w:tc>
        <w:tc>
          <w:tcPr>
            <w:tcW w:w="960" w:type="dxa"/>
            <w:tcBorders>
              <w:top w:val="nil"/>
              <w:left w:val="nil"/>
              <w:bottom w:val="single" w:sz="4" w:space="0" w:color="auto"/>
              <w:right w:val="single" w:sz="12"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3 055</w:t>
            </w:r>
          </w:p>
        </w:tc>
        <w:tc>
          <w:tcPr>
            <w:tcW w:w="960" w:type="dxa"/>
            <w:tcBorders>
              <w:top w:val="nil"/>
              <w:left w:val="single" w:sz="12" w:space="0" w:color="auto"/>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Čína</w:t>
            </w:r>
          </w:p>
        </w:tc>
        <w:tc>
          <w:tcPr>
            <w:tcW w:w="960" w:type="dxa"/>
            <w:tcBorders>
              <w:top w:val="nil"/>
              <w:left w:val="nil"/>
              <w:bottom w:val="single" w:sz="4" w:space="0" w:color="auto"/>
              <w:right w:val="single" w:sz="18"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6 708</w:t>
            </w:r>
          </w:p>
        </w:tc>
      </w:tr>
      <w:tr w:rsidR="00DF128A" w:rsidRPr="00DF128A" w:rsidTr="00DF128A">
        <w:trPr>
          <w:trHeight w:val="255"/>
        </w:trPr>
        <w:tc>
          <w:tcPr>
            <w:tcW w:w="960" w:type="dxa"/>
            <w:tcBorders>
              <w:top w:val="nil"/>
              <w:left w:val="single" w:sz="18" w:space="0" w:color="auto"/>
              <w:bottom w:val="single" w:sz="4" w:space="0" w:color="auto"/>
              <w:right w:val="double" w:sz="6" w:space="0" w:color="auto"/>
            </w:tcBorders>
            <w:shd w:val="clear" w:color="auto" w:fill="auto"/>
            <w:noWrap/>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4.</w:t>
            </w:r>
          </w:p>
        </w:tc>
        <w:tc>
          <w:tcPr>
            <w:tcW w:w="960" w:type="dxa"/>
            <w:tcBorders>
              <w:top w:val="nil"/>
              <w:left w:val="nil"/>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Filipíny</w:t>
            </w:r>
          </w:p>
        </w:tc>
        <w:tc>
          <w:tcPr>
            <w:tcW w:w="960" w:type="dxa"/>
            <w:tcBorders>
              <w:top w:val="nil"/>
              <w:left w:val="nil"/>
              <w:bottom w:val="single" w:sz="4" w:space="0" w:color="auto"/>
              <w:right w:val="single" w:sz="12"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2 913</w:t>
            </w:r>
          </w:p>
        </w:tc>
        <w:tc>
          <w:tcPr>
            <w:tcW w:w="960" w:type="dxa"/>
            <w:tcBorders>
              <w:top w:val="nil"/>
              <w:left w:val="single" w:sz="12" w:space="0" w:color="auto"/>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Filipíny</w:t>
            </w:r>
          </w:p>
        </w:tc>
        <w:tc>
          <w:tcPr>
            <w:tcW w:w="960" w:type="dxa"/>
            <w:tcBorders>
              <w:top w:val="nil"/>
              <w:left w:val="nil"/>
              <w:bottom w:val="single" w:sz="4" w:space="0" w:color="auto"/>
              <w:right w:val="single" w:sz="18"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6 282</w:t>
            </w:r>
          </w:p>
        </w:tc>
      </w:tr>
      <w:tr w:rsidR="00DF128A" w:rsidRPr="00DF128A" w:rsidTr="00DF128A">
        <w:trPr>
          <w:trHeight w:val="255"/>
        </w:trPr>
        <w:tc>
          <w:tcPr>
            <w:tcW w:w="960" w:type="dxa"/>
            <w:tcBorders>
              <w:top w:val="nil"/>
              <w:left w:val="single" w:sz="18" w:space="0" w:color="auto"/>
              <w:bottom w:val="single" w:sz="4" w:space="0" w:color="auto"/>
              <w:right w:val="double" w:sz="6" w:space="0" w:color="auto"/>
            </w:tcBorders>
            <w:shd w:val="clear" w:color="auto" w:fill="auto"/>
            <w:noWrap/>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5.</w:t>
            </w:r>
          </w:p>
        </w:tc>
        <w:tc>
          <w:tcPr>
            <w:tcW w:w="960" w:type="dxa"/>
            <w:tcBorders>
              <w:top w:val="nil"/>
              <w:left w:val="nil"/>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Indonésie</w:t>
            </w:r>
          </w:p>
        </w:tc>
        <w:tc>
          <w:tcPr>
            <w:tcW w:w="960" w:type="dxa"/>
            <w:tcBorders>
              <w:top w:val="nil"/>
              <w:left w:val="nil"/>
              <w:bottom w:val="single" w:sz="4" w:space="0" w:color="auto"/>
              <w:right w:val="single" w:sz="12"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2 411</w:t>
            </w:r>
          </w:p>
        </w:tc>
        <w:tc>
          <w:tcPr>
            <w:tcW w:w="960" w:type="dxa"/>
            <w:tcBorders>
              <w:top w:val="nil"/>
              <w:left w:val="single" w:sz="12" w:space="0" w:color="auto"/>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Ekvádor</w:t>
            </w:r>
          </w:p>
        </w:tc>
        <w:tc>
          <w:tcPr>
            <w:tcW w:w="960" w:type="dxa"/>
            <w:tcBorders>
              <w:top w:val="nil"/>
              <w:left w:val="nil"/>
              <w:bottom w:val="single" w:sz="4" w:space="0" w:color="auto"/>
              <w:right w:val="single" w:sz="18"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6 118</w:t>
            </w:r>
          </w:p>
        </w:tc>
      </w:tr>
      <w:tr w:rsidR="00DF128A" w:rsidRPr="00DF128A" w:rsidTr="00DF128A">
        <w:trPr>
          <w:trHeight w:val="255"/>
        </w:trPr>
        <w:tc>
          <w:tcPr>
            <w:tcW w:w="960" w:type="dxa"/>
            <w:tcBorders>
              <w:top w:val="nil"/>
              <w:left w:val="single" w:sz="18" w:space="0" w:color="auto"/>
              <w:bottom w:val="single" w:sz="4" w:space="0" w:color="auto"/>
              <w:right w:val="double" w:sz="6" w:space="0" w:color="auto"/>
            </w:tcBorders>
            <w:shd w:val="clear" w:color="auto" w:fill="auto"/>
            <w:noWrap/>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6.</w:t>
            </w:r>
          </w:p>
        </w:tc>
        <w:tc>
          <w:tcPr>
            <w:tcW w:w="960" w:type="dxa"/>
            <w:tcBorders>
              <w:top w:val="nil"/>
              <w:left w:val="nil"/>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Mexiko</w:t>
            </w:r>
          </w:p>
        </w:tc>
        <w:tc>
          <w:tcPr>
            <w:tcW w:w="960" w:type="dxa"/>
            <w:tcBorders>
              <w:top w:val="nil"/>
              <w:left w:val="nil"/>
              <w:bottom w:val="single" w:sz="4" w:space="0" w:color="auto"/>
              <w:right w:val="single" w:sz="12"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1 986</w:t>
            </w:r>
          </w:p>
        </w:tc>
        <w:tc>
          <w:tcPr>
            <w:tcW w:w="960" w:type="dxa"/>
            <w:tcBorders>
              <w:top w:val="nil"/>
              <w:left w:val="single" w:sz="12" w:space="0" w:color="auto"/>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Indonésie</w:t>
            </w:r>
          </w:p>
        </w:tc>
        <w:tc>
          <w:tcPr>
            <w:tcW w:w="960" w:type="dxa"/>
            <w:tcBorders>
              <w:top w:val="nil"/>
              <w:left w:val="nil"/>
              <w:bottom w:val="single" w:sz="4" w:space="0" w:color="auto"/>
              <w:right w:val="single" w:sz="18"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4 503</w:t>
            </w:r>
          </w:p>
        </w:tc>
      </w:tr>
      <w:tr w:rsidR="00DF128A" w:rsidRPr="00DF128A" w:rsidTr="00DF128A">
        <w:trPr>
          <w:trHeight w:val="255"/>
        </w:trPr>
        <w:tc>
          <w:tcPr>
            <w:tcW w:w="960" w:type="dxa"/>
            <w:tcBorders>
              <w:top w:val="nil"/>
              <w:left w:val="single" w:sz="18" w:space="0" w:color="auto"/>
              <w:bottom w:val="single" w:sz="4" w:space="0" w:color="auto"/>
              <w:right w:val="double" w:sz="6" w:space="0" w:color="auto"/>
            </w:tcBorders>
            <w:shd w:val="clear" w:color="auto" w:fill="auto"/>
            <w:noWrap/>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7.</w:t>
            </w:r>
          </w:p>
        </w:tc>
        <w:tc>
          <w:tcPr>
            <w:tcW w:w="960" w:type="dxa"/>
            <w:tcBorders>
              <w:top w:val="nil"/>
              <w:left w:val="nil"/>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Kostarika</w:t>
            </w:r>
          </w:p>
        </w:tc>
        <w:tc>
          <w:tcPr>
            <w:tcW w:w="960" w:type="dxa"/>
            <w:tcBorders>
              <w:top w:val="nil"/>
              <w:left w:val="nil"/>
              <w:bottom w:val="single" w:sz="4" w:space="0" w:color="auto"/>
              <w:right w:val="single" w:sz="12"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1 740</w:t>
            </w:r>
          </w:p>
        </w:tc>
        <w:tc>
          <w:tcPr>
            <w:tcW w:w="960" w:type="dxa"/>
            <w:tcBorders>
              <w:top w:val="nil"/>
              <w:left w:val="single" w:sz="12" w:space="0" w:color="auto"/>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Mexiko</w:t>
            </w:r>
          </w:p>
        </w:tc>
        <w:tc>
          <w:tcPr>
            <w:tcW w:w="960" w:type="dxa"/>
            <w:tcBorders>
              <w:top w:val="nil"/>
              <w:left w:val="nil"/>
              <w:bottom w:val="single" w:sz="4" w:space="0" w:color="auto"/>
              <w:right w:val="single" w:sz="18"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2 250</w:t>
            </w:r>
          </w:p>
        </w:tc>
      </w:tr>
      <w:tr w:rsidR="00DF128A" w:rsidRPr="00DF128A" w:rsidTr="00DF128A">
        <w:trPr>
          <w:trHeight w:val="255"/>
        </w:trPr>
        <w:tc>
          <w:tcPr>
            <w:tcW w:w="960" w:type="dxa"/>
            <w:tcBorders>
              <w:top w:val="nil"/>
              <w:left w:val="single" w:sz="18" w:space="0" w:color="auto"/>
              <w:bottom w:val="single" w:sz="4" w:space="0" w:color="auto"/>
              <w:right w:val="double" w:sz="6" w:space="0" w:color="auto"/>
            </w:tcBorders>
            <w:shd w:val="clear" w:color="auto" w:fill="auto"/>
            <w:noWrap/>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8.</w:t>
            </w:r>
          </w:p>
        </w:tc>
        <w:tc>
          <w:tcPr>
            <w:tcW w:w="960" w:type="dxa"/>
            <w:tcBorders>
              <w:top w:val="nil"/>
              <w:left w:val="nil"/>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Čína</w:t>
            </w:r>
          </w:p>
        </w:tc>
        <w:tc>
          <w:tcPr>
            <w:tcW w:w="960" w:type="dxa"/>
            <w:tcBorders>
              <w:top w:val="nil"/>
              <w:left w:val="nil"/>
              <w:bottom w:val="single" w:sz="4" w:space="0" w:color="auto"/>
              <w:right w:val="single" w:sz="12"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1 657</w:t>
            </w:r>
          </w:p>
        </w:tc>
        <w:tc>
          <w:tcPr>
            <w:tcW w:w="960" w:type="dxa"/>
            <w:tcBorders>
              <w:top w:val="nil"/>
              <w:left w:val="single" w:sz="12" w:space="0" w:color="auto"/>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Kostarika</w:t>
            </w:r>
          </w:p>
        </w:tc>
        <w:tc>
          <w:tcPr>
            <w:tcW w:w="960" w:type="dxa"/>
            <w:tcBorders>
              <w:top w:val="nil"/>
              <w:left w:val="nil"/>
              <w:bottom w:val="single" w:sz="4" w:space="0" w:color="auto"/>
              <w:right w:val="single" w:sz="18"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2 220</w:t>
            </w:r>
          </w:p>
        </w:tc>
      </w:tr>
      <w:tr w:rsidR="00DF128A" w:rsidRPr="00DF128A" w:rsidTr="00DF128A">
        <w:trPr>
          <w:trHeight w:val="255"/>
        </w:trPr>
        <w:tc>
          <w:tcPr>
            <w:tcW w:w="960" w:type="dxa"/>
            <w:tcBorders>
              <w:top w:val="nil"/>
              <w:left w:val="single" w:sz="18" w:space="0" w:color="auto"/>
              <w:bottom w:val="single" w:sz="4" w:space="0" w:color="auto"/>
              <w:right w:val="double" w:sz="6" w:space="0" w:color="auto"/>
            </w:tcBorders>
            <w:shd w:val="clear" w:color="auto" w:fill="auto"/>
            <w:noWrap/>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9.</w:t>
            </w:r>
          </w:p>
        </w:tc>
        <w:tc>
          <w:tcPr>
            <w:tcW w:w="960" w:type="dxa"/>
            <w:tcBorders>
              <w:top w:val="nil"/>
              <w:left w:val="nil"/>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Thajsko</w:t>
            </w:r>
          </w:p>
        </w:tc>
        <w:tc>
          <w:tcPr>
            <w:tcW w:w="960" w:type="dxa"/>
            <w:tcBorders>
              <w:top w:val="nil"/>
              <w:left w:val="nil"/>
              <w:bottom w:val="single" w:sz="4" w:space="0" w:color="auto"/>
              <w:right w:val="single" w:sz="12"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1 613</w:t>
            </w:r>
          </w:p>
        </w:tc>
        <w:tc>
          <w:tcPr>
            <w:tcW w:w="960" w:type="dxa"/>
            <w:tcBorders>
              <w:top w:val="nil"/>
              <w:left w:val="single" w:sz="12" w:space="0" w:color="auto"/>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Thajsko</w:t>
            </w:r>
          </w:p>
        </w:tc>
        <w:tc>
          <w:tcPr>
            <w:tcW w:w="960" w:type="dxa"/>
            <w:tcBorders>
              <w:top w:val="nil"/>
              <w:left w:val="nil"/>
              <w:bottom w:val="single" w:sz="4" w:space="0" w:color="auto"/>
              <w:right w:val="single" w:sz="18"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2 000</w:t>
            </w:r>
          </w:p>
        </w:tc>
      </w:tr>
      <w:tr w:rsidR="00DF128A" w:rsidRPr="00DF128A" w:rsidTr="00DF128A">
        <w:trPr>
          <w:trHeight w:val="255"/>
        </w:trPr>
        <w:tc>
          <w:tcPr>
            <w:tcW w:w="960" w:type="dxa"/>
            <w:tcBorders>
              <w:top w:val="nil"/>
              <w:left w:val="single" w:sz="18" w:space="0" w:color="auto"/>
              <w:bottom w:val="single" w:sz="4" w:space="0" w:color="auto"/>
              <w:right w:val="double" w:sz="6" w:space="0" w:color="auto"/>
            </w:tcBorders>
            <w:shd w:val="clear" w:color="auto" w:fill="auto"/>
            <w:noWrap/>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10.</w:t>
            </w:r>
          </w:p>
        </w:tc>
        <w:tc>
          <w:tcPr>
            <w:tcW w:w="960" w:type="dxa"/>
            <w:tcBorders>
              <w:top w:val="nil"/>
              <w:left w:val="nil"/>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Burundi</w:t>
            </w:r>
          </w:p>
        </w:tc>
        <w:tc>
          <w:tcPr>
            <w:tcW w:w="960" w:type="dxa"/>
            <w:tcBorders>
              <w:top w:val="nil"/>
              <w:left w:val="nil"/>
              <w:bottom w:val="single" w:sz="4" w:space="0" w:color="auto"/>
              <w:right w:val="single" w:sz="12"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1 547</w:t>
            </w:r>
          </w:p>
        </w:tc>
        <w:tc>
          <w:tcPr>
            <w:tcW w:w="960" w:type="dxa"/>
            <w:tcBorders>
              <w:top w:val="nil"/>
              <w:left w:val="single" w:sz="12" w:space="0" w:color="auto"/>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Kolumbie</w:t>
            </w:r>
          </w:p>
        </w:tc>
        <w:tc>
          <w:tcPr>
            <w:tcW w:w="960" w:type="dxa"/>
            <w:tcBorders>
              <w:top w:val="nil"/>
              <w:left w:val="nil"/>
              <w:bottom w:val="single" w:sz="4" w:space="0" w:color="auto"/>
              <w:right w:val="single" w:sz="18"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1 765</w:t>
            </w:r>
          </w:p>
        </w:tc>
      </w:tr>
      <w:tr w:rsidR="00DF128A" w:rsidRPr="00DF128A" w:rsidTr="00DF128A">
        <w:trPr>
          <w:trHeight w:val="255"/>
        </w:trPr>
        <w:tc>
          <w:tcPr>
            <w:tcW w:w="960" w:type="dxa"/>
            <w:tcBorders>
              <w:top w:val="nil"/>
              <w:left w:val="single" w:sz="18" w:space="0" w:color="auto"/>
              <w:bottom w:val="single" w:sz="4" w:space="0" w:color="auto"/>
              <w:right w:val="double" w:sz="6" w:space="0" w:color="auto"/>
            </w:tcBorders>
            <w:shd w:val="clear" w:color="auto" w:fill="auto"/>
            <w:noWrap/>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11.</w:t>
            </w:r>
          </w:p>
        </w:tc>
        <w:tc>
          <w:tcPr>
            <w:tcW w:w="960" w:type="dxa"/>
            <w:tcBorders>
              <w:top w:val="nil"/>
              <w:left w:val="nil"/>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Kolumbie</w:t>
            </w:r>
          </w:p>
        </w:tc>
        <w:tc>
          <w:tcPr>
            <w:tcW w:w="960" w:type="dxa"/>
            <w:tcBorders>
              <w:top w:val="nil"/>
              <w:left w:val="nil"/>
              <w:bottom w:val="single" w:sz="4" w:space="0" w:color="auto"/>
              <w:right w:val="single" w:sz="12"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1 329</w:t>
            </w:r>
          </w:p>
        </w:tc>
        <w:tc>
          <w:tcPr>
            <w:tcW w:w="960" w:type="dxa"/>
            <w:tcBorders>
              <w:top w:val="nil"/>
              <w:left w:val="single" w:sz="12" w:space="0" w:color="auto"/>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Burundi</w:t>
            </w:r>
          </w:p>
        </w:tc>
        <w:tc>
          <w:tcPr>
            <w:tcW w:w="960" w:type="dxa"/>
            <w:tcBorders>
              <w:top w:val="nil"/>
              <w:left w:val="nil"/>
              <w:bottom w:val="single" w:sz="4" w:space="0" w:color="auto"/>
              <w:right w:val="single" w:sz="18"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1 600</w:t>
            </w:r>
          </w:p>
        </w:tc>
      </w:tr>
      <w:tr w:rsidR="00DF128A" w:rsidRPr="00DF128A" w:rsidTr="00DF128A">
        <w:trPr>
          <w:trHeight w:val="255"/>
        </w:trPr>
        <w:tc>
          <w:tcPr>
            <w:tcW w:w="960" w:type="dxa"/>
            <w:tcBorders>
              <w:top w:val="nil"/>
              <w:left w:val="single" w:sz="18" w:space="0" w:color="auto"/>
              <w:bottom w:val="single" w:sz="4" w:space="0" w:color="auto"/>
              <w:right w:val="double" w:sz="6" w:space="0" w:color="auto"/>
            </w:tcBorders>
            <w:shd w:val="clear" w:color="auto" w:fill="auto"/>
            <w:noWrap/>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12.</w:t>
            </w:r>
          </w:p>
        </w:tc>
        <w:tc>
          <w:tcPr>
            <w:tcW w:w="960" w:type="dxa"/>
            <w:tcBorders>
              <w:top w:val="nil"/>
              <w:left w:val="nil"/>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Vietnam</w:t>
            </w:r>
          </w:p>
        </w:tc>
        <w:tc>
          <w:tcPr>
            <w:tcW w:w="960" w:type="dxa"/>
            <w:tcBorders>
              <w:top w:val="nil"/>
              <w:left w:val="nil"/>
              <w:bottom w:val="single" w:sz="4" w:space="0" w:color="auto"/>
              <w:right w:val="single" w:sz="12"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1 221</w:t>
            </w:r>
          </w:p>
        </w:tc>
        <w:tc>
          <w:tcPr>
            <w:tcW w:w="960" w:type="dxa"/>
            <w:tcBorders>
              <w:top w:val="nil"/>
              <w:left w:val="single" w:sz="12" w:space="0" w:color="auto"/>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Vietnam</w:t>
            </w:r>
          </w:p>
        </w:tc>
        <w:tc>
          <w:tcPr>
            <w:tcW w:w="960" w:type="dxa"/>
            <w:tcBorders>
              <w:top w:val="nil"/>
              <w:left w:val="nil"/>
              <w:bottom w:val="single" w:sz="4" w:space="0" w:color="auto"/>
              <w:right w:val="single" w:sz="18"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1 344</w:t>
            </w:r>
          </w:p>
        </w:tc>
      </w:tr>
      <w:tr w:rsidR="00DF128A" w:rsidRPr="00DF128A" w:rsidTr="00DF128A">
        <w:trPr>
          <w:trHeight w:val="255"/>
        </w:trPr>
        <w:tc>
          <w:tcPr>
            <w:tcW w:w="960" w:type="dxa"/>
            <w:tcBorders>
              <w:top w:val="nil"/>
              <w:left w:val="single" w:sz="18" w:space="0" w:color="auto"/>
              <w:bottom w:val="single" w:sz="4" w:space="0" w:color="auto"/>
              <w:right w:val="double" w:sz="6" w:space="0" w:color="auto"/>
            </w:tcBorders>
            <w:shd w:val="clear" w:color="auto" w:fill="auto"/>
            <w:noWrap/>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13.</w:t>
            </w:r>
          </w:p>
        </w:tc>
        <w:tc>
          <w:tcPr>
            <w:tcW w:w="960" w:type="dxa"/>
            <w:tcBorders>
              <w:top w:val="nil"/>
              <w:left w:val="nil"/>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Panama</w:t>
            </w:r>
          </w:p>
        </w:tc>
        <w:tc>
          <w:tcPr>
            <w:tcW w:w="960" w:type="dxa"/>
            <w:tcBorders>
              <w:top w:val="nil"/>
              <w:left w:val="nil"/>
              <w:bottom w:val="single" w:sz="4" w:space="0" w:color="auto"/>
              <w:right w:val="single" w:sz="12"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1 177</w:t>
            </w:r>
          </w:p>
        </w:tc>
        <w:tc>
          <w:tcPr>
            <w:tcW w:w="960" w:type="dxa"/>
            <w:tcBorders>
              <w:top w:val="nil"/>
              <w:left w:val="single" w:sz="12" w:space="0" w:color="auto"/>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Guatemala</w:t>
            </w:r>
          </w:p>
        </w:tc>
        <w:tc>
          <w:tcPr>
            <w:tcW w:w="960" w:type="dxa"/>
            <w:tcBorders>
              <w:top w:val="nil"/>
              <w:left w:val="nil"/>
              <w:bottom w:val="single" w:sz="4" w:space="0" w:color="auto"/>
              <w:right w:val="single" w:sz="18"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1 000</w:t>
            </w:r>
          </w:p>
        </w:tc>
      </w:tr>
      <w:tr w:rsidR="00DF128A" w:rsidRPr="00DF128A" w:rsidTr="00DF128A">
        <w:trPr>
          <w:trHeight w:val="285"/>
        </w:trPr>
        <w:tc>
          <w:tcPr>
            <w:tcW w:w="960" w:type="dxa"/>
            <w:tcBorders>
              <w:top w:val="nil"/>
              <w:left w:val="single" w:sz="18" w:space="0" w:color="auto"/>
              <w:bottom w:val="single" w:sz="4" w:space="0" w:color="auto"/>
              <w:right w:val="double" w:sz="6" w:space="0" w:color="auto"/>
            </w:tcBorders>
            <w:shd w:val="clear" w:color="auto" w:fill="auto"/>
            <w:noWrap/>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14.</w:t>
            </w:r>
          </w:p>
        </w:tc>
        <w:tc>
          <w:tcPr>
            <w:tcW w:w="960" w:type="dxa"/>
            <w:tcBorders>
              <w:top w:val="nil"/>
              <w:left w:val="nil"/>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Venezuela</w:t>
            </w:r>
          </w:p>
        </w:tc>
        <w:tc>
          <w:tcPr>
            <w:tcW w:w="960" w:type="dxa"/>
            <w:tcBorders>
              <w:top w:val="nil"/>
              <w:left w:val="nil"/>
              <w:bottom w:val="single" w:sz="4" w:space="0" w:color="auto"/>
              <w:right w:val="single" w:sz="12"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1 167</w:t>
            </w:r>
          </w:p>
        </w:tc>
        <w:tc>
          <w:tcPr>
            <w:tcW w:w="960" w:type="dxa"/>
            <w:tcBorders>
              <w:top w:val="nil"/>
              <w:left w:val="single" w:sz="12" w:space="0" w:color="auto"/>
              <w:bottom w:val="single" w:sz="4"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Bangladéš</w:t>
            </w:r>
          </w:p>
        </w:tc>
        <w:tc>
          <w:tcPr>
            <w:tcW w:w="960" w:type="dxa"/>
            <w:tcBorders>
              <w:top w:val="nil"/>
              <w:left w:val="nil"/>
              <w:bottom w:val="single" w:sz="4" w:space="0" w:color="auto"/>
              <w:right w:val="single" w:sz="18"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899</w:t>
            </w:r>
          </w:p>
        </w:tc>
      </w:tr>
      <w:tr w:rsidR="00DF128A" w:rsidRPr="00DF128A" w:rsidTr="00DF128A">
        <w:trPr>
          <w:trHeight w:val="270"/>
        </w:trPr>
        <w:tc>
          <w:tcPr>
            <w:tcW w:w="960" w:type="dxa"/>
            <w:tcBorders>
              <w:top w:val="nil"/>
              <w:left w:val="single" w:sz="18" w:space="0" w:color="auto"/>
              <w:bottom w:val="single" w:sz="18" w:space="0" w:color="auto"/>
              <w:right w:val="double" w:sz="6" w:space="0" w:color="auto"/>
            </w:tcBorders>
            <w:shd w:val="clear" w:color="auto" w:fill="auto"/>
            <w:noWrap/>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15.</w:t>
            </w:r>
          </w:p>
        </w:tc>
        <w:tc>
          <w:tcPr>
            <w:tcW w:w="960" w:type="dxa"/>
            <w:tcBorders>
              <w:top w:val="nil"/>
              <w:left w:val="nil"/>
              <w:bottom w:val="single" w:sz="18"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Honduras</w:t>
            </w:r>
          </w:p>
        </w:tc>
        <w:tc>
          <w:tcPr>
            <w:tcW w:w="960" w:type="dxa"/>
            <w:tcBorders>
              <w:top w:val="nil"/>
              <w:left w:val="nil"/>
              <w:bottom w:val="single" w:sz="18" w:space="0" w:color="auto"/>
              <w:right w:val="single" w:sz="12"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1 046</w:t>
            </w:r>
          </w:p>
        </w:tc>
        <w:tc>
          <w:tcPr>
            <w:tcW w:w="960" w:type="dxa"/>
            <w:tcBorders>
              <w:top w:val="nil"/>
              <w:left w:val="single" w:sz="12" w:space="0" w:color="auto"/>
              <w:bottom w:val="single" w:sz="18" w:space="0" w:color="auto"/>
              <w:right w:val="single" w:sz="4"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Honduras</w:t>
            </w:r>
          </w:p>
        </w:tc>
        <w:tc>
          <w:tcPr>
            <w:tcW w:w="960" w:type="dxa"/>
            <w:tcBorders>
              <w:top w:val="nil"/>
              <w:left w:val="nil"/>
              <w:bottom w:val="single" w:sz="18" w:space="0" w:color="auto"/>
              <w:right w:val="single" w:sz="18" w:space="0" w:color="auto"/>
            </w:tcBorders>
            <w:shd w:val="clear" w:color="auto" w:fill="auto"/>
            <w:vAlign w:val="bottom"/>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887</w:t>
            </w:r>
          </w:p>
        </w:tc>
      </w:tr>
    </w:tbl>
    <w:p w:rsidR="00DF128A" w:rsidRPr="00DF128A" w:rsidRDefault="00DF128A" w:rsidP="008843BB">
      <w:pPr>
        <w:widowControl w:val="0"/>
        <w:autoSpaceDE w:val="0"/>
        <w:autoSpaceDN w:val="0"/>
        <w:adjustRightInd w:val="0"/>
        <w:spacing w:line="276" w:lineRule="auto"/>
        <w:jc w:val="both"/>
        <w:rPr>
          <w:rFonts w:ascii="Times New Roman" w:hAnsi="Times New Roman" w:cs="Times New Roman"/>
          <w:color w:val="000000"/>
          <w:sz w:val="24"/>
          <w:szCs w:val="24"/>
        </w:rPr>
      </w:pPr>
      <w:r w:rsidRPr="00DF128A">
        <w:rPr>
          <w:rFonts w:ascii="Times New Roman" w:hAnsi="Times New Roman" w:cs="Times New Roman"/>
          <w:color w:val="000000"/>
          <w:sz w:val="24"/>
          <w:szCs w:val="24"/>
        </w:rPr>
        <w:t>Zdroj: FAO 1990 a 2005</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color w:val="000000"/>
          <w:sz w:val="24"/>
          <w:szCs w:val="24"/>
        </w:rPr>
      </w:pPr>
      <w:r w:rsidRPr="00DF128A">
        <w:rPr>
          <w:rFonts w:ascii="Times New Roman" w:hAnsi="Times New Roman" w:cs="Times New Roman"/>
          <w:color w:val="000000"/>
          <w:sz w:val="24"/>
          <w:szCs w:val="24"/>
        </w:rPr>
        <w:t xml:space="preserve"> </w:t>
      </w:r>
    </w:p>
    <w:p w:rsidR="00DF128A" w:rsidRPr="00DF128A" w:rsidRDefault="00DF128A" w:rsidP="008843BB">
      <w:pPr>
        <w:widowControl w:val="0"/>
        <w:autoSpaceDE w:val="0"/>
        <w:autoSpaceDN w:val="0"/>
        <w:adjustRightInd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Export a import banánů</w:t>
      </w:r>
    </w:p>
    <w:p w:rsidR="00DF128A" w:rsidRPr="00DF128A" w:rsidRDefault="00DF128A" w:rsidP="00DF128A">
      <w:pPr>
        <w:widowControl w:val="0"/>
        <w:spacing w:line="276" w:lineRule="auto"/>
        <w:ind w:firstLine="709"/>
        <w:jc w:val="both"/>
        <w:rPr>
          <w:rFonts w:ascii="Times New Roman" w:hAnsi="Times New Roman" w:cs="Times New Roman"/>
          <w:color w:val="000000"/>
          <w:sz w:val="24"/>
          <w:szCs w:val="24"/>
        </w:rPr>
      </w:pPr>
      <w:r w:rsidRPr="00DF128A">
        <w:rPr>
          <w:rFonts w:ascii="Times New Roman" w:hAnsi="Times New Roman" w:cs="Times New Roman"/>
          <w:sz w:val="24"/>
          <w:szCs w:val="24"/>
        </w:rPr>
        <w:t>Podle organizace FAO celkové množství exportovaných banánů v roce 2005 bylo 15,9 miliónů tun.</w:t>
      </w:r>
      <w:r w:rsidRPr="00DF128A">
        <w:rPr>
          <w:rFonts w:ascii="Times New Roman" w:hAnsi="Times New Roman" w:cs="Times New Roman"/>
          <w:color w:val="000000"/>
          <w:sz w:val="24"/>
          <w:szCs w:val="24"/>
        </w:rPr>
        <w:t xml:space="preserve"> </w:t>
      </w:r>
      <w:r w:rsidRPr="00DF128A">
        <w:rPr>
          <w:rFonts w:ascii="Times New Roman" w:hAnsi="Times New Roman" w:cs="Times New Roman"/>
          <w:sz w:val="24"/>
          <w:szCs w:val="24"/>
        </w:rPr>
        <w:t>Ve skutečnosti, jen asi jedna pětina celkové produkce banánů je určena pro mezinárodní obchod.</w:t>
      </w:r>
      <w:r w:rsidRPr="00DF128A">
        <w:rPr>
          <w:rFonts w:ascii="Times New Roman" w:hAnsi="Times New Roman" w:cs="Times New Roman"/>
          <w:color w:val="000000"/>
          <w:sz w:val="24"/>
          <w:szCs w:val="24"/>
        </w:rPr>
        <w:t xml:space="preserve"> Není pravidlem, že země, které patří do 15 největších producentů banánů, musí být i mezi zeměmi nejvíce exportujícími. Indie či Brazílie jsou příkladem toho, že některé státy produkují velké množství banánů, ale exportují jen malé množství, protože většina je pro domácí spotřebu. </w:t>
      </w:r>
      <w:r w:rsidRPr="00DF128A">
        <w:rPr>
          <w:rFonts w:ascii="Times New Roman" w:hAnsi="Times New Roman" w:cs="Times New Roman"/>
          <w:sz w:val="24"/>
          <w:szCs w:val="24"/>
        </w:rPr>
        <w:t xml:space="preserve">Světoví exportéři banánů jsou koncentrováni zejména v rozvojových zemích. Jen Latinská Amerika a Karibský region dodávaly v roce 2005 asi 70 % celkového vývozu. Čtyři největší vývozci banánů v roce 2005 (Ekvádor, Kostarika, Filipíny a Kolumbie) odpovídají za 63 % celosvětového vývozu. Ekvádor sám poskytl více než 30 % celkového exportu banánu. </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color w:val="000000"/>
          <w:sz w:val="24"/>
          <w:szCs w:val="24"/>
        </w:rPr>
      </w:pPr>
      <w:r w:rsidRPr="00DF128A">
        <w:rPr>
          <w:rFonts w:ascii="Times New Roman" w:hAnsi="Times New Roman" w:cs="Times New Roman"/>
          <w:color w:val="000000"/>
          <w:sz w:val="24"/>
          <w:szCs w:val="24"/>
        </w:rPr>
        <w:t xml:space="preserve">Podle statistiky FAO banány jsou dováženy hlavně Evropskou unií, Spojenými státy americkými a Japonskem, které dohromady importovaly asi 67 % z celkového světového dovozu v roce 2005. Prvních deset největších importérů (viz. tab. 2) tvořilo dohromady 80 % celkových dovozů. Evropská unie je významným hráčem na světovém banánovém trhu, protože dováží třetinu celkem exportovaných banánů (stejně jako Severní Amerika), ale třikrát více než Japonsko. </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color w:val="000000"/>
          <w:sz w:val="24"/>
          <w:szCs w:val="24"/>
        </w:rPr>
      </w:pPr>
    </w:p>
    <w:p w:rsidR="00E20A69" w:rsidRDefault="00E20A69">
      <w:pPr>
        <w:rPr>
          <w:rFonts w:ascii="Times New Roman" w:hAnsi="Times New Roman" w:cs="Times New Roman"/>
          <w:b/>
          <w:sz w:val="24"/>
          <w:szCs w:val="24"/>
        </w:rPr>
      </w:pPr>
      <w:r>
        <w:rPr>
          <w:rFonts w:ascii="Times New Roman" w:hAnsi="Times New Roman" w:cs="Times New Roman"/>
          <w:b/>
          <w:sz w:val="24"/>
          <w:szCs w:val="24"/>
        </w:rPr>
        <w:br w:type="page"/>
      </w:r>
    </w:p>
    <w:p w:rsidR="00DF128A" w:rsidRPr="00DF128A" w:rsidRDefault="00DF128A" w:rsidP="008843BB">
      <w:pPr>
        <w:widowControl w:val="0"/>
        <w:autoSpaceDE w:val="0"/>
        <w:autoSpaceDN w:val="0"/>
        <w:adjustRightInd w:val="0"/>
        <w:spacing w:line="276" w:lineRule="auto"/>
        <w:jc w:val="both"/>
        <w:rPr>
          <w:rFonts w:ascii="Times New Roman" w:hAnsi="Times New Roman" w:cs="Times New Roman"/>
          <w:sz w:val="24"/>
          <w:szCs w:val="24"/>
        </w:rPr>
      </w:pPr>
      <w:r w:rsidRPr="00E20A69">
        <w:rPr>
          <w:rFonts w:ascii="Times New Roman" w:hAnsi="Times New Roman" w:cs="Times New Roman"/>
          <w:sz w:val="24"/>
          <w:szCs w:val="24"/>
        </w:rPr>
        <w:lastRenderedPageBreak/>
        <w:t>Tab. 2.</w:t>
      </w:r>
      <w:r w:rsidR="00E20A69">
        <w:rPr>
          <w:rFonts w:ascii="Times New Roman" w:hAnsi="Times New Roman" w:cs="Times New Roman"/>
          <w:sz w:val="24"/>
          <w:szCs w:val="24"/>
        </w:rPr>
        <w:t>:</w:t>
      </w:r>
      <w:r w:rsidRPr="00DF128A">
        <w:rPr>
          <w:rFonts w:ascii="Times New Roman" w:hAnsi="Times New Roman" w:cs="Times New Roman"/>
          <w:sz w:val="24"/>
          <w:szCs w:val="24"/>
        </w:rPr>
        <w:t xml:space="preserve"> Největší exportéři a importéři banánů na svět</w:t>
      </w:r>
      <w:r w:rsidR="008843BB">
        <w:rPr>
          <w:rFonts w:ascii="Times New Roman" w:hAnsi="Times New Roman" w:cs="Times New Roman"/>
          <w:sz w:val="24"/>
          <w:szCs w:val="24"/>
        </w:rPr>
        <w:t>ě v roce 2005.</w:t>
      </w:r>
    </w:p>
    <w:tbl>
      <w:tblPr>
        <w:tblW w:w="5000" w:type="pct"/>
        <w:tblInd w:w="55" w:type="dxa"/>
        <w:tblCellMar>
          <w:left w:w="70" w:type="dxa"/>
          <w:right w:w="70" w:type="dxa"/>
        </w:tblCellMar>
        <w:tblLook w:val="0000" w:firstRow="0" w:lastRow="0" w:firstColumn="0" w:lastColumn="0" w:noHBand="0" w:noVBand="0"/>
      </w:tblPr>
      <w:tblGrid>
        <w:gridCol w:w="1532"/>
        <w:gridCol w:w="1885"/>
        <w:gridCol w:w="1885"/>
        <w:gridCol w:w="2025"/>
        <w:gridCol w:w="1885"/>
      </w:tblGrid>
      <w:tr w:rsidR="00DF128A" w:rsidRPr="00DF128A" w:rsidTr="00DF128A">
        <w:trPr>
          <w:trHeight w:val="270"/>
        </w:trPr>
        <w:tc>
          <w:tcPr>
            <w:tcW w:w="780" w:type="dxa"/>
            <w:vMerge w:val="restart"/>
            <w:tcBorders>
              <w:top w:val="single" w:sz="18" w:space="0" w:color="auto"/>
              <w:left w:val="single" w:sz="18" w:space="0" w:color="auto"/>
              <w:bottom w:val="double" w:sz="6" w:space="0" w:color="000000"/>
              <w:right w:val="double" w:sz="6" w:space="0" w:color="auto"/>
            </w:tcBorders>
            <w:shd w:val="clear" w:color="auto" w:fill="969696"/>
            <w:noWrap/>
            <w:vAlign w:val="center"/>
          </w:tcPr>
          <w:p w:rsidR="00DF128A" w:rsidRPr="008843BB" w:rsidRDefault="00DF128A" w:rsidP="008843BB">
            <w:pPr>
              <w:widowControl w:val="0"/>
              <w:spacing w:line="276" w:lineRule="auto"/>
              <w:jc w:val="both"/>
              <w:rPr>
                <w:rFonts w:cstheme="minorHAnsi"/>
                <w:b/>
                <w:sz w:val="20"/>
                <w:szCs w:val="20"/>
              </w:rPr>
            </w:pPr>
            <w:r w:rsidRPr="008843BB">
              <w:rPr>
                <w:rFonts w:cstheme="minorHAnsi"/>
                <w:b/>
                <w:sz w:val="20"/>
                <w:szCs w:val="20"/>
              </w:rPr>
              <w:t>Pořadí</w:t>
            </w:r>
          </w:p>
        </w:tc>
        <w:tc>
          <w:tcPr>
            <w:tcW w:w="1920" w:type="dxa"/>
            <w:gridSpan w:val="2"/>
            <w:tcBorders>
              <w:top w:val="single" w:sz="18" w:space="0" w:color="auto"/>
              <w:left w:val="nil"/>
              <w:bottom w:val="single" w:sz="4" w:space="0" w:color="auto"/>
              <w:right w:val="single" w:sz="12" w:space="0" w:color="000000"/>
            </w:tcBorders>
            <w:shd w:val="clear" w:color="auto" w:fill="969696"/>
            <w:noWrap/>
            <w:vAlign w:val="center"/>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2005</w:t>
            </w:r>
          </w:p>
        </w:tc>
        <w:tc>
          <w:tcPr>
            <w:tcW w:w="1920" w:type="dxa"/>
            <w:gridSpan w:val="2"/>
            <w:tcBorders>
              <w:top w:val="single" w:sz="18" w:space="0" w:color="auto"/>
              <w:left w:val="single" w:sz="12" w:space="0" w:color="000000"/>
              <w:bottom w:val="single" w:sz="4" w:space="0" w:color="auto"/>
              <w:right w:val="single" w:sz="18" w:space="0" w:color="auto"/>
            </w:tcBorders>
            <w:shd w:val="clear" w:color="auto" w:fill="969696"/>
            <w:noWrap/>
            <w:vAlign w:val="center"/>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2005</w:t>
            </w:r>
          </w:p>
        </w:tc>
      </w:tr>
      <w:tr w:rsidR="00DF128A" w:rsidRPr="00DF128A" w:rsidTr="00DF128A">
        <w:trPr>
          <w:trHeight w:val="495"/>
        </w:trPr>
        <w:tc>
          <w:tcPr>
            <w:tcW w:w="780" w:type="dxa"/>
            <w:vMerge/>
            <w:tcBorders>
              <w:top w:val="single" w:sz="12" w:space="0" w:color="auto"/>
              <w:left w:val="single" w:sz="18" w:space="0" w:color="auto"/>
              <w:bottom w:val="double" w:sz="6" w:space="0" w:color="000000"/>
              <w:right w:val="double" w:sz="6"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p>
        </w:tc>
        <w:tc>
          <w:tcPr>
            <w:tcW w:w="960" w:type="dxa"/>
            <w:tcBorders>
              <w:top w:val="nil"/>
              <w:left w:val="nil"/>
              <w:bottom w:val="double" w:sz="6" w:space="0" w:color="auto"/>
              <w:right w:val="single" w:sz="4" w:space="0" w:color="auto"/>
            </w:tcBorders>
            <w:shd w:val="clear" w:color="auto" w:fill="C0C0C0"/>
            <w:noWrap/>
            <w:vAlign w:val="center"/>
          </w:tcPr>
          <w:p w:rsidR="00DF128A" w:rsidRPr="008843BB" w:rsidRDefault="00DF128A" w:rsidP="008843BB">
            <w:pPr>
              <w:widowControl w:val="0"/>
              <w:spacing w:line="276" w:lineRule="auto"/>
              <w:jc w:val="both"/>
              <w:rPr>
                <w:rFonts w:cstheme="minorHAnsi"/>
                <w:i/>
                <w:iCs/>
                <w:sz w:val="20"/>
                <w:szCs w:val="20"/>
              </w:rPr>
            </w:pPr>
            <w:r w:rsidRPr="008843BB">
              <w:rPr>
                <w:rFonts w:cstheme="minorHAnsi"/>
                <w:i/>
                <w:iCs/>
                <w:sz w:val="20"/>
                <w:szCs w:val="20"/>
              </w:rPr>
              <w:t>Stát</w:t>
            </w:r>
          </w:p>
        </w:tc>
        <w:tc>
          <w:tcPr>
            <w:tcW w:w="960" w:type="dxa"/>
            <w:tcBorders>
              <w:top w:val="nil"/>
              <w:left w:val="nil"/>
              <w:bottom w:val="double" w:sz="6" w:space="0" w:color="auto"/>
              <w:right w:val="single" w:sz="12" w:space="0" w:color="auto"/>
            </w:tcBorders>
            <w:shd w:val="clear" w:color="auto" w:fill="C0C0C0"/>
            <w:vAlign w:val="center"/>
          </w:tcPr>
          <w:p w:rsidR="00DF128A" w:rsidRPr="008843BB" w:rsidRDefault="00DF128A" w:rsidP="008843BB">
            <w:pPr>
              <w:widowControl w:val="0"/>
              <w:spacing w:line="276" w:lineRule="auto"/>
              <w:jc w:val="both"/>
              <w:rPr>
                <w:rFonts w:cstheme="minorHAnsi"/>
                <w:i/>
                <w:iCs/>
                <w:sz w:val="20"/>
                <w:szCs w:val="20"/>
              </w:rPr>
            </w:pPr>
            <w:r w:rsidRPr="008843BB">
              <w:rPr>
                <w:rFonts w:cstheme="minorHAnsi"/>
                <w:i/>
                <w:iCs/>
                <w:sz w:val="20"/>
                <w:szCs w:val="20"/>
              </w:rPr>
              <w:t>Dovoz (tis. t)</w:t>
            </w:r>
          </w:p>
        </w:tc>
        <w:tc>
          <w:tcPr>
            <w:tcW w:w="960" w:type="dxa"/>
            <w:tcBorders>
              <w:top w:val="nil"/>
              <w:left w:val="single" w:sz="12" w:space="0" w:color="auto"/>
              <w:bottom w:val="double" w:sz="6" w:space="0" w:color="auto"/>
              <w:right w:val="nil"/>
            </w:tcBorders>
            <w:shd w:val="clear" w:color="auto" w:fill="C0C0C0"/>
            <w:noWrap/>
            <w:vAlign w:val="center"/>
          </w:tcPr>
          <w:p w:rsidR="00DF128A" w:rsidRPr="008843BB" w:rsidRDefault="00DF128A" w:rsidP="008843BB">
            <w:pPr>
              <w:widowControl w:val="0"/>
              <w:spacing w:line="276" w:lineRule="auto"/>
              <w:jc w:val="both"/>
              <w:rPr>
                <w:rFonts w:cstheme="minorHAnsi"/>
                <w:i/>
                <w:iCs/>
                <w:sz w:val="20"/>
                <w:szCs w:val="20"/>
              </w:rPr>
            </w:pPr>
            <w:r w:rsidRPr="008843BB">
              <w:rPr>
                <w:rFonts w:cstheme="minorHAnsi"/>
                <w:i/>
                <w:iCs/>
                <w:sz w:val="20"/>
                <w:szCs w:val="20"/>
              </w:rPr>
              <w:t>Stát</w:t>
            </w:r>
          </w:p>
        </w:tc>
        <w:tc>
          <w:tcPr>
            <w:tcW w:w="960" w:type="dxa"/>
            <w:tcBorders>
              <w:top w:val="nil"/>
              <w:left w:val="single" w:sz="4" w:space="0" w:color="auto"/>
              <w:bottom w:val="double" w:sz="6" w:space="0" w:color="auto"/>
              <w:right w:val="single" w:sz="18" w:space="0" w:color="auto"/>
            </w:tcBorders>
            <w:shd w:val="clear" w:color="auto" w:fill="C0C0C0"/>
            <w:vAlign w:val="center"/>
          </w:tcPr>
          <w:p w:rsidR="00DF128A" w:rsidRPr="008843BB" w:rsidRDefault="00DF128A" w:rsidP="008843BB">
            <w:pPr>
              <w:widowControl w:val="0"/>
              <w:spacing w:line="276" w:lineRule="auto"/>
              <w:jc w:val="both"/>
              <w:rPr>
                <w:rFonts w:cstheme="minorHAnsi"/>
                <w:i/>
                <w:iCs/>
                <w:sz w:val="20"/>
                <w:szCs w:val="20"/>
              </w:rPr>
            </w:pPr>
            <w:r w:rsidRPr="008843BB">
              <w:rPr>
                <w:rFonts w:cstheme="minorHAnsi"/>
                <w:i/>
                <w:iCs/>
                <w:sz w:val="20"/>
                <w:szCs w:val="20"/>
              </w:rPr>
              <w:t>Vývoz (tis. t)</w:t>
            </w:r>
          </w:p>
        </w:tc>
      </w:tr>
      <w:tr w:rsidR="00DF128A" w:rsidRPr="00DF128A" w:rsidTr="00DF128A">
        <w:trPr>
          <w:trHeight w:val="270"/>
        </w:trPr>
        <w:tc>
          <w:tcPr>
            <w:tcW w:w="780" w:type="dxa"/>
            <w:tcBorders>
              <w:top w:val="nil"/>
              <w:left w:val="single" w:sz="18" w:space="0" w:color="auto"/>
              <w:bottom w:val="single" w:sz="4" w:space="0" w:color="auto"/>
              <w:right w:val="double" w:sz="6" w:space="0" w:color="auto"/>
            </w:tcBorders>
            <w:shd w:val="clear" w:color="auto" w:fill="auto"/>
            <w:noWrap/>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w:t>
            </w:r>
          </w:p>
        </w:tc>
        <w:tc>
          <w:tcPr>
            <w:tcW w:w="960" w:type="dxa"/>
            <w:tcBorders>
              <w:top w:val="nil"/>
              <w:left w:val="nil"/>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USA</w:t>
            </w:r>
          </w:p>
        </w:tc>
        <w:tc>
          <w:tcPr>
            <w:tcW w:w="960" w:type="dxa"/>
            <w:tcBorders>
              <w:top w:val="nil"/>
              <w:left w:val="nil"/>
              <w:bottom w:val="single" w:sz="4" w:space="0" w:color="auto"/>
              <w:right w:val="single" w:sz="12"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3 921</w:t>
            </w:r>
          </w:p>
        </w:tc>
        <w:tc>
          <w:tcPr>
            <w:tcW w:w="960" w:type="dxa"/>
            <w:tcBorders>
              <w:top w:val="nil"/>
              <w:left w:val="single" w:sz="12" w:space="0" w:color="auto"/>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Ekvádor</w:t>
            </w:r>
          </w:p>
        </w:tc>
        <w:tc>
          <w:tcPr>
            <w:tcW w:w="960" w:type="dxa"/>
            <w:tcBorders>
              <w:top w:val="nil"/>
              <w:left w:val="nil"/>
              <w:bottom w:val="single" w:sz="4" w:space="0" w:color="auto"/>
              <w:right w:val="single" w:sz="18"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4 981</w:t>
            </w:r>
          </w:p>
        </w:tc>
      </w:tr>
      <w:tr w:rsidR="00DF128A" w:rsidRPr="00DF128A" w:rsidTr="00DF128A">
        <w:trPr>
          <w:trHeight w:val="270"/>
        </w:trPr>
        <w:tc>
          <w:tcPr>
            <w:tcW w:w="780" w:type="dxa"/>
            <w:tcBorders>
              <w:top w:val="nil"/>
              <w:left w:val="single" w:sz="18" w:space="0" w:color="auto"/>
              <w:bottom w:val="single" w:sz="4" w:space="0" w:color="auto"/>
              <w:right w:val="double" w:sz="6" w:space="0" w:color="auto"/>
            </w:tcBorders>
            <w:shd w:val="clear" w:color="auto" w:fill="auto"/>
            <w:noWrap/>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2.</w:t>
            </w:r>
          </w:p>
        </w:tc>
        <w:tc>
          <w:tcPr>
            <w:tcW w:w="960" w:type="dxa"/>
            <w:tcBorders>
              <w:top w:val="nil"/>
              <w:left w:val="nil"/>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Německo</w:t>
            </w:r>
          </w:p>
        </w:tc>
        <w:tc>
          <w:tcPr>
            <w:tcW w:w="960" w:type="dxa"/>
            <w:tcBorders>
              <w:top w:val="nil"/>
              <w:left w:val="nil"/>
              <w:bottom w:val="single" w:sz="4" w:space="0" w:color="auto"/>
              <w:right w:val="single" w:sz="12"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1 286</w:t>
            </w:r>
          </w:p>
        </w:tc>
        <w:tc>
          <w:tcPr>
            <w:tcW w:w="960" w:type="dxa"/>
            <w:tcBorders>
              <w:top w:val="nil"/>
              <w:left w:val="single" w:sz="12" w:space="0" w:color="auto"/>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Kostarika</w:t>
            </w:r>
          </w:p>
        </w:tc>
        <w:tc>
          <w:tcPr>
            <w:tcW w:w="960" w:type="dxa"/>
            <w:tcBorders>
              <w:top w:val="nil"/>
              <w:left w:val="nil"/>
              <w:bottom w:val="single" w:sz="4" w:space="0" w:color="auto"/>
              <w:right w:val="single" w:sz="18"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1 887</w:t>
            </w:r>
          </w:p>
        </w:tc>
      </w:tr>
      <w:tr w:rsidR="00DF128A" w:rsidRPr="00DF128A" w:rsidTr="00DF128A">
        <w:trPr>
          <w:trHeight w:val="270"/>
        </w:trPr>
        <w:tc>
          <w:tcPr>
            <w:tcW w:w="780" w:type="dxa"/>
            <w:tcBorders>
              <w:top w:val="nil"/>
              <w:left w:val="single" w:sz="18" w:space="0" w:color="auto"/>
              <w:bottom w:val="single" w:sz="4" w:space="0" w:color="auto"/>
              <w:right w:val="double" w:sz="6" w:space="0" w:color="auto"/>
            </w:tcBorders>
            <w:shd w:val="clear" w:color="auto" w:fill="auto"/>
            <w:noWrap/>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3.</w:t>
            </w:r>
          </w:p>
        </w:tc>
        <w:tc>
          <w:tcPr>
            <w:tcW w:w="960" w:type="dxa"/>
            <w:tcBorders>
              <w:top w:val="nil"/>
              <w:left w:val="nil"/>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Japonsko</w:t>
            </w:r>
          </w:p>
        </w:tc>
        <w:tc>
          <w:tcPr>
            <w:tcW w:w="960" w:type="dxa"/>
            <w:tcBorders>
              <w:top w:val="nil"/>
              <w:left w:val="nil"/>
              <w:bottom w:val="single" w:sz="4" w:space="0" w:color="auto"/>
              <w:right w:val="single" w:sz="12"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1 075</w:t>
            </w:r>
          </w:p>
        </w:tc>
        <w:tc>
          <w:tcPr>
            <w:tcW w:w="960" w:type="dxa"/>
            <w:tcBorders>
              <w:top w:val="nil"/>
              <w:left w:val="single" w:sz="12" w:space="0" w:color="auto"/>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Filipíny</w:t>
            </w:r>
          </w:p>
        </w:tc>
        <w:tc>
          <w:tcPr>
            <w:tcW w:w="960" w:type="dxa"/>
            <w:tcBorders>
              <w:top w:val="nil"/>
              <w:left w:val="nil"/>
              <w:bottom w:val="single" w:sz="4" w:space="0" w:color="auto"/>
              <w:right w:val="single" w:sz="18"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1 821</w:t>
            </w:r>
          </w:p>
        </w:tc>
      </w:tr>
      <w:tr w:rsidR="00DF128A" w:rsidRPr="00DF128A" w:rsidTr="00DF128A">
        <w:trPr>
          <w:trHeight w:val="270"/>
        </w:trPr>
        <w:tc>
          <w:tcPr>
            <w:tcW w:w="780" w:type="dxa"/>
            <w:tcBorders>
              <w:top w:val="nil"/>
              <w:left w:val="single" w:sz="18" w:space="0" w:color="auto"/>
              <w:bottom w:val="single" w:sz="4" w:space="0" w:color="auto"/>
              <w:right w:val="double" w:sz="6" w:space="0" w:color="auto"/>
            </w:tcBorders>
            <w:shd w:val="clear" w:color="auto" w:fill="auto"/>
            <w:noWrap/>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4.</w:t>
            </w:r>
          </w:p>
        </w:tc>
        <w:tc>
          <w:tcPr>
            <w:tcW w:w="960" w:type="dxa"/>
            <w:tcBorders>
              <w:top w:val="nil"/>
              <w:left w:val="nil"/>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Belgie</w:t>
            </w:r>
          </w:p>
        </w:tc>
        <w:tc>
          <w:tcPr>
            <w:tcW w:w="960" w:type="dxa"/>
            <w:tcBorders>
              <w:top w:val="nil"/>
              <w:left w:val="nil"/>
              <w:bottom w:val="single" w:sz="4" w:space="0" w:color="auto"/>
              <w:right w:val="single" w:sz="12"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977</w:t>
            </w:r>
          </w:p>
        </w:tc>
        <w:tc>
          <w:tcPr>
            <w:tcW w:w="960" w:type="dxa"/>
            <w:tcBorders>
              <w:top w:val="nil"/>
              <w:left w:val="single" w:sz="12" w:space="0" w:color="auto"/>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Kolumbie</w:t>
            </w:r>
          </w:p>
        </w:tc>
        <w:tc>
          <w:tcPr>
            <w:tcW w:w="960" w:type="dxa"/>
            <w:tcBorders>
              <w:top w:val="nil"/>
              <w:left w:val="nil"/>
              <w:bottom w:val="single" w:sz="4" w:space="0" w:color="auto"/>
              <w:right w:val="single" w:sz="18"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1 580</w:t>
            </w:r>
          </w:p>
        </w:tc>
      </w:tr>
      <w:tr w:rsidR="00DF128A" w:rsidRPr="00DF128A" w:rsidTr="00DF128A">
        <w:trPr>
          <w:trHeight w:val="270"/>
        </w:trPr>
        <w:tc>
          <w:tcPr>
            <w:tcW w:w="780" w:type="dxa"/>
            <w:tcBorders>
              <w:top w:val="nil"/>
              <w:left w:val="single" w:sz="18" w:space="0" w:color="auto"/>
              <w:bottom w:val="single" w:sz="4" w:space="0" w:color="auto"/>
              <w:right w:val="double" w:sz="6" w:space="0" w:color="auto"/>
            </w:tcBorders>
            <w:shd w:val="clear" w:color="auto" w:fill="auto"/>
            <w:noWrap/>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5.</w:t>
            </w:r>
          </w:p>
        </w:tc>
        <w:tc>
          <w:tcPr>
            <w:tcW w:w="960" w:type="dxa"/>
            <w:tcBorders>
              <w:top w:val="nil"/>
              <w:left w:val="nil"/>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Írán</w:t>
            </w:r>
          </w:p>
        </w:tc>
        <w:tc>
          <w:tcPr>
            <w:tcW w:w="960" w:type="dxa"/>
            <w:tcBorders>
              <w:top w:val="nil"/>
              <w:left w:val="nil"/>
              <w:bottom w:val="single" w:sz="4" w:space="0" w:color="auto"/>
              <w:right w:val="single" w:sz="12"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938</w:t>
            </w:r>
          </w:p>
        </w:tc>
        <w:tc>
          <w:tcPr>
            <w:tcW w:w="960" w:type="dxa"/>
            <w:tcBorders>
              <w:top w:val="nil"/>
              <w:left w:val="single" w:sz="12" w:space="0" w:color="auto"/>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Guatemala</w:t>
            </w:r>
          </w:p>
        </w:tc>
        <w:tc>
          <w:tcPr>
            <w:tcW w:w="960" w:type="dxa"/>
            <w:tcBorders>
              <w:top w:val="nil"/>
              <w:left w:val="nil"/>
              <w:bottom w:val="single" w:sz="4" w:space="0" w:color="auto"/>
              <w:right w:val="single" w:sz="18"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1 113</w:t>
            </w:r>
          </w:p>
        </w:tc>
      </w:tr>
      <w:tr w:rsidR="00DF128A" w:rsidRPr="00DF128A" w:rsidTr="00DF128A">
        <w:trPr>
          <w:trHeight w:val="270"/>
        </w:trPr>
        <w:tc>
          <w:tcPr>
            <w:tcW w:w="780" w:type="dxa"/>
            <w:tcBorders>
              <w:top w:val="nil"/>
              <w:left w:val="single" w:sz="18" w:space="0" w:color="auto"/>
              <w:bottom w:val="single" w:sz="4" w:space="0" w:color="auto"/>
              <w:right w:val="double" w:sz="6" w:space="0" w:color="auto"/>
            </w:tcBorders>
            <w:shd w:val="clear" w:color="auto" w:fill="auto"/>
            <w:noWrap/>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6.</w:t>
            </w:r>
          </w:p>
        </w:tc>
        <w:tc>
          <w:tcPr>
            <w:tcW w:w="960" w:type="dxa"/>
            <w:tcBorders>
              <w:top w:val="nil"/>
              <w:left w:val="nil"/>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Rusko</w:t>
            </w:r>
          </w:p>
        </w:tc>
        <w:tc>
          <w:tcPr>
            <w:tcW w:w="960" w:type="dxa"/>
            <w:tcBorders>
              <w:top w:val="nil"/>
              <w:left w:val="nil"/>
              <w:bottom w:val="single" w:sz="4" w:space="0" w:color="auto"/>
              <w:right w:val="single" w:sz="12"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876</w:t>
            </w:r>
          </w:p>
        </w:tc>
        <w:tc>
          <w:tcPr>
            <w:tcW w:w="960" w:type="dxa"/>
            <w:tcBorders>
              <w:top w:val="nil"/>
              <w:left w:val="single" w:sz="12" w:space="0" w:color="auto"/>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Belgie</w:t>
            </w:r>
          </w:p>
        </w:tc>
        <w:tc>
          <w:tcPr>
            <w:tcW w:w="960" w:type="dxa"/>
            <w:tcBorders>
              <w:top w:val="nil"/>
              <w:left w:val="nil"/>
              <w:bottom w:val="single" w:sz="4" w:space="0" w:color="auto"/>
              <w:right w:val="single" w:sz="18"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956</w:t>
            </w:r>
          </w:p>
        </w:tc>
      </w:tr>
      <w:tr w:rsidR="00DF128A" w:rsidRPr="00DF128A" w:rsidTr="00DF128A">
        <w:trPr>
          <w:trHeight w:val="270"/>
        </w:trPr>
        <w:tc>
          <w:tcPr>
            <w:tcW w:w="780" w:type="dxa"/>
            <w:tcBorders>
              <w:top w:val="nil"/>
              <w:left w:val="single" w:sz="18" w:space="0" w:color="auto"/>
              <w:bottom w:val="single" w:sz="4" w:space="0" w:color="auto"/>
              <w:right w:val="double" w:sz="6" w:space="0" w:color="auto"/>
            </w:tcBorders>
            <w:shd w:val="clear" w:color="auto" w:fill="auto"/>
            <w:noWrap/>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7.</w:t>
            </w:r>
          </w:p>
        </w:tc>
        <w:tc>
          <w:tcPr>
            <w:tcW w:w="960" w:type="dxa"/>
            <w:tcBorders>
              <w:top w:val="nil"/>
              <w:left w:val="nil"/>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Velká Británie</w:t>
            </w:r>
          </w:p>
        </w:tc>
        <w:tc>
          <w:tcPr>
            <w:tcW w:w="960" w:type="dxa"/>
            <w:tcBorders>
              <w:top w:val="nil"/>
              <w:left w:val="nil"/>
              <w:bottom w:val="single" w:sz="4" w:space="0" w:color="auto"/>
              <w:right w:val="single" w:sz="12"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848</w:t>
            </w:r>
          </w:p>
        </w:tc>
        <w:tc>
          <w:tcPr>
            <w:tcW w:w="960" w:type="dxa"/>
            <w:tcBorders>
              <w:top w:val="nil"/>
              <w:left w:val="single" w:sz="12" w:space="0" w:color="auto"/>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Spojené Arabské Emiráty</w:t>
            </w:r>
          </w:p>
        </w:tc>
        <w:tc>
          <w:tcPr>
            <w:tcW w:w="960" w:type="dxa"/>
            <w:tcBorders>
              <w:top w:val="nil"/>
              <w:left w:val="nil"/>
              <w:bottom w:val="single" w:sz="4" w:space="0" w:color="auto"/>
              <w:right w:val="single" w:sz="18"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838</w:t>
            </w:r>
          </w:p>
        </w:tc>
      </w:tr>
      <w:tr w:rsidR="00DF128A" w:rsidRPr="00DF128A" w:rsidTr="00DF128A">
        <w:trPr>
          <w:trHeight w:val="270"/>
        </w:trPr>
        <w:tc>
          <w:tcPr>
            <w:tcW w:w="780" w:type="dxa"/>
            <w:tcBorders>
              <w:top w:val="nil"/>
              <w:left w:val="single" w:sz="18" w:space="0" w:color="auto"/>
              <w:bottom w:val="single" w:sz="4" w:space="0" w:color="auto"/>
              <w:right w:val="double" w:sz="6" w:space="0" w:color="auto"/>
            </w:tcBorders>
            <w:shd w:val="clear" w:color="auto" w:fill="auto"/>
            <w:noWrap/>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8.</w:t>
            </w:r>
          </w:p>
        </w:tc>
        <w:tc>
          <w:tcPr>
            <w:tcW w:w="960" w:type="dxa"/>
            <w:tcBorders>
              <w:top w:val="nil"/>
              <w:left w:val="nil"/>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Itálie</w:t>
            </w:r>
          </w:p>
        </w:tc>
        <w:tc>
          <w:tcPr>
            <w:tcW w:w="960" w:type="dxa"/>
            <w:tcBorders>
              <w:top w:val="nil"/>
              <w:left w:val="nil"/>
              <w:bottom w:val="single" w:sz="4" w:space="0" w:color="auto"/>
              <w:right w:val="single" w:sz="12"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552</w:t>
            </w:r>
          </w:p>
        </w:tc>
        <w:tc>
          <w:tcPr>
            <w:tcW w:w="960" w:type="dxa"/>
            <w:tcBorders>
              <w:top w:val="nil"/>
              <w:left w:val="single" w:sz="12" w:space="0" w:color="auto"/>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USA</w:t>
            </w:r>
          </w:p>
        </w:tc>
        <w:tc>
          <w:tcPr>
            <w:tcW w:w="960" w:type="dxa"/>
            <w:tcBorders>
              <w:top w:val="nil"/>
              <w:left w:val="nil"/>
              <w:bottom w:val="single" w:sz="4" w:space="0" w:color="auto"/>
              <w:right w:val="single" w:sz="18"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546</w:t>
            </w:r>
          </w:p>
        </w:tc>
      </w:tr>
      <w:tr w:rsidR="00DF128A" w:rsidRPr="00DF128A" w:rsidTr="00DF128A">
        <w:trPr>
          <w:trHeight w:val="270"/>
        </w:trPr>
        <w:tc>
          <w:tcPr>
            <w:tcW w:w="780" w:type="dxa"/>
            <w:tcBorders>
              <w:top w:val="nil"/>
              <w:left w:val="single" w:sz="18" w:space="0" w:color="auto"/>
              <w:bottom w:val="single" w:sz="4" w:space="0" w:color="auto"/>
              <w:right w:val="double" w:sz="6" w:space="0" w:color="auto"/>
            </w:tcBorders>
            <w:shd w:val="clear" w:color="auto" w:fill="auto"/>
            <w:noWrap/>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9.</w:t>
            </w:r>
          </w:p>
        </w:tc>
        <w:tc>
          <w:tcPr>
            <w:tcW w:w="960" w:type="dxa"/>
            <w:tcBorders>
              <w:top w:val="nil"/>
              <w:left w:val="nil"/>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Čína</w:t>
            </w:r>
          </w:p>
        </w:tc>
        <w:tc>
          <w:tcPr>
            <w:tcW w:w="960" w:type="dxa"/>
            <w:tcBorders>
              <w:top w:val="nil"/>
              <w:left w:val="nil"/>
              <w:bottom w:val="single" w:sz="4" w:space="0" w:color="auto"/>
              <w:right w:val="single" w:sz="12"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489</w:t>
            </w:r>
          </w:p>
        </w:tc>
        <w:tc>
          <w:tcPr>
            <w:tcW w:w="960" w:type="dxa"/>
            <w:tcBorders>
              <w:top w:val="nil"/>
              <w:left w:val="single" w:sz="12" w:space="0" w:color="auto"/>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Honduras</w:t>
            </w:r>
          </w:p>
        </w:tc>
        <w:tc>
          <w:tcPr>
            <w:tcW w:w="960" w:type="dxa"/>
            <w:tcBorders>
              <w:top w:val="nil"/>
              <w:left w:val="nil"/>
              <w:bottom w:val="single" w:sz="4" w:space="0" w:color="auto"/>
              <w:right w:val="single" w:sz="18"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513</w:t>
            </w:r>
          </w:p>
        </w:tc>
      </w:tr>
      <w:tr w:rsidR="00DF128A" w:rsidRPr="00DF128A" w:rsidTr="00DF128A">
        <w:trPr>
          <w:trHeight w:val="270"/>
        </w:trPr>
        <w:tc>
          <w:tcPr>
            <w:tcW w:w="780" w:type="dxa"/>
            <w:tcBorders>
              <w:top w:val="nil"/>
              <w:left w:val="single" w:sz="18" w:space="0" w:color="auto"/>
              <w:bottom w:val="single" w:sz="4" w:space="0" w:color="auto"/>
              <w:right w:val="double" w:sz="6" w:space="0" w:color="auto"/>
            </w:tcBorders>
            <w:shd w:val="clear" w:color="auto" w:fill="auto"/>
            <w:noWrap/>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10.</w:t>
            </w:r>
          </w:p>
        </w:tc>
        <w:tc>
          <w:tcPr>
            <w:tcW w:w="960" w:type="dxa"/>
            <w:tcBorders>
              <w:top w:val="nil"/>
              <w:left w:val="nil"/>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Kanada</w:t>
            </w:r>
          </w:p>
        </w:tc>
        <w:tc>
          <w:tcPr>
            <w:tcW w:w="960" w:type="dxa"/>
            <w:tcBorders>
              <w:top w:val="nil"/>
              <w:left w:val="nil"/>
              <w:bottom w:val="single" w:sz="4" w:space="0" w:color="auto"/>
              <w:right w:val="single" w:sz="12"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468</w:t>
            </w:r>
          </w:p>
        </w:tc>
        <w:tc>
          <w:tcPr>
            <w:tcW w:w="960" w:type="dxa"/>
            <w:tcBorders>
              <w:top w:val="nil"/>
              <w:left w:val="single" w:sz="12" w:space="0" w:color="auto"/>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Thajsko</w:t>
            </w:r>
          </w:p>
        </w:tc>
        <w:tc>
          <w:tcPr>
            <w:tcW w:w="960" w:type="dxa"/>
            <w:tcBorders>
              <w:top w:val="nil"/>
              <w:left w:val="nil"/>
              <w:bottom w:val="single" w:sz="4" w:space="0" w:color="auto"/>
              <w:right w:val="single" w:sz="18"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432</w:t>
            </w:r>
          </w:p>
        </w:tc>
      </w:tr>
      <w:tr w:rsidR="00DF128A" w:rsidRPr="00DF128A" w:rsidTr="00DF128A">
        <w:trPr>
          <w:trHeight w:val="270"/>
        </w:trPr>
        <w:tc>
          <w:tcPr>
            <w:tcW w:w="780" w:type="dxa"/>
            <w:tcBorders>
              <w:top w:val="nil"/>
              <w:left w:val="single" w:sz="18" w:space="0" w:color="auto"/>
              <w:bottom w:val="single" w:sz="4" w:space="0" w:color="auto"/>
              <w:right w:val="double" w:sz="6" w:space="0" w:color="auto"/>
            </w:tcBorders>
            <w:shd w:val="clear" w:color="auto" w:fill="auto"/>
            <w:noWrap/>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11.</w:t>
            </w:r>
          </w:p>
        </w:tc>
        <w:tc>
          <w:tcPr>
            <w:tcW w:w="960" w:type="dxa"/>
            <w:tcBorders>
              <w:top w:val="nil"/>
              <w:left w:val="nil"/>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Francie</w:t>
            </w:r>
          </w:p>
        </w:tc>
        <w:tc>
          <w:tcPr>
            <w:tcW w:w="960" w:type="dxa"/>
            <w:tcBorders>
              <w:top w:val="nil"/>
              <w:left w:val="nil"/>
              <w:bottom w:val="single" w:sz="4" w:space="0" w:color="auto"/>
              <w:right w:val="single" w:sz="12"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456</w:t>
            </w:r>
          </w:p>
        </w:tc>
        <w:tc>
          <w:tcPr>
            <w:tcW w:w="960" w:type="dxa"/>
            <w:tcBorders>
              <w:top w:val="nil"/>
              <w:left w:val="single" w:sz="12" w:space="0" w:color="auto"/>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Panama</w:t>
            </w:r>
          </w:p>
        </w:tc>
        <w:tc>
          <w:tcPr>
            <w:tcW w:w="960" w:type="dxa"/>
            <w:tcBorders>
              <w:top w:val="nil"/>
              <w:left w:val="nil"/>
              <w:bottom w:val="single" w:sz="4" w:space="0" w:color="auto"/>
              <w:right w:val="single" w:sz="18"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364</w:t>
            </w:r>
          </w:p>
        </w:tc>
      </w:tr>
      <w:tr w:rsidR="00DF128A" w:rsidRPr="00DF128A" w:rsidTr="00DF128A">
        <w:trPr>
          <w:trHeight w:val="270"/>
        </w:trPr>
        <w:tc>
          <w:tcPr>
            <w:tcW w:w="780" w:type="dxa"/>
            <w:tcBorders>
              <w:top w:val="nil"/>
              <w:left w:val="single" w:sz="18" w:space="0" w:color="auto"/>
              <w:bottom w:val="single" w:sz="4" w:space="0" w:color="auto"/>
              <w:right w:val="double" w:sz="6" w:space="0" w:color="auto"/>
            </w:tcBorders>
            <w:shd w:val="clear" w:color="auto" w:fill="auto"/>
            <w:noWrap/>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12.</w:t>
            </w:r>
          </w:p>
        </w:tc>
        <w:tc>
          <w:tcPr>
            <w:tcW w:w="960" w:type="dxa"/>
            <w:tcBorders>
              <w:top w:val="nil"/>
              <w:left w:val="nil"/>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Argentina</w:t>
            </w:r>
          </w:p>
        </w:tc>
        <w:tc>
          <w:tcPr>
            <w:tcW w:w="960" w:type="dxa"/>
            <w:tcBorders>
              <w:top w:val="nil"/>
              <w:left w:val="nil"/>
              <w:bottom w:val="single" w:sz="4" w:space="0" w:color="auto"/>
              <w:right w:val="single" w:sz="12"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303</w:t>
            </w:r>
          </w:p>
        </w:tc>
        <w:tc>
          <w:tcPr>
            <w:tcW w:w="960" w:type="dxa"/>
            <w:tcBorders>
              <w:top w:val="nil"/>
              <w:left w:val="single" w:sz="12" w:space="0" w:color="auto"/>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Kamerun</w:t>
            </w:r>
          </w:p>
        </w:tc>
        <w:tc>
          <w:tcPr>
            <w:tcW w:w="960" w:type="dxa"/>
            <w:tcBorders>
              <w:top w:val="nil"/>
              <w:left w:val="nil"/>
              <w:bottom w:val="single" w:sz="4" w:space="0" w:color="auto"/>
              <w:right w:val="single" w:sz="18"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300</w:t>
            </w:r>
          </w:p>
        </w:tc>
      </w:tr>
      <w:tr w:rsidR="00DF128A" w:rsidRPr="00DF128A" w:rsidTr="00DF128A">
        <w:trPr>
          <w:trHeight w:val="270"/>
        </w:trPr>
        <w:tc>
          <w:tcPr>
            <w:tcW w:w="780" w:type="dxa"/>
            <w:tcBorders>
              <w:top w:val="nil"/>
              <w:left w:val="single" w:sz="18" w:space="0" w:color="auto"/>
              <w:bottom w:val="single" w:sz="4" w:space="0" w:color="auto"/>
              <w:right w:val="double" w:sz="6" w:space="0" w:color="auto"/>
            </w:tcBorders>
            <w:shd w:val="clear" w:color="auto" w:fill="auto"/>
            <w:noWrap/>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13.</w:t>
            </w:r>
          </w:p>
        </w:tc>
        <w:tc>
          <w:tcPr>
            <w:tcW w:w="960" w:type="dxa"/>
            <w:tcBorders>
              <w:top w:val="nil"/>
              <w:left w:val="nil"/>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Ukrajina</w:t>
            </w:r>
          </w:p>
        </w:tc>
        <w:tc>
          <w:tcPr>
            <w:tcW w:w="960" w:type="dxa"/>
            <w:tcBorders>
              <w:top w:val="nil"/>
              <w:left w:val="nil"/>
              <w:bottom w:val="single" w:sz="4" w:space="0" w:color="auto"/>
              <w:right w:val="single" w:sz="12"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276</w:t>
            </w:r>
          </w:p>
        </w:tc>
        <w:tc>
          <w:tcPr>
            <w:tcW w:w="960" w:type="dxa"/>
            <w:tcBorders>
              <w:top w:val="nil"/>
              <w:left w:val="single" w:sz="12" w:space="0" w:color="auto"/>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Německo</w:t>
            </w:r>
          </w:p>
        </w:tc>
        <w:tc>
          <w:tcPr>
            <w:tcW w:w="960" w:type="dxa"/>
            <w:tcBorders>
              <w:top w:val="nil"/>
              <w:left w:val="nil"/>
              <w:bottom w:val="single" w:sz="4" w:space="0" w:color="auto"/>
              <w:right w:val="single" w:sz="18"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260</w:t>
            </w:r>
          </w:p>
        </w:tc>
      </w:tr>
      <w:tr w:rsidR="00DF128A" w:rsidRPr="00DF128A" w:rsidTr="00DF128A">
        <w:trPr>
          <w:trHeight w:val="270"/>
        </w:trPr>
        <w:tc>
          <w:tcPr>
            <w:tcW w:w="780" w:type="dxa"/>
            <w:tcBorders>
              <w:top w:val="nil"/>
              <w:left w:val="single" w:sz="18" w:space="0" w:color="auto"/>
              <w:bottom w:val="single" w:sz="4" w:space="0" w:color="auto"/>
              <w:right w:val="double" w:sz="6" w:space="0" w:color="auto"/>
            </w:tcBorders>
            <w:shd w:val="clear" w:color="auto" w:fill="auto"/>
            <w:noWrap/>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14.</w:t>
            </w:r>
          </w:p>
        </w:tc>
        <w:tc>
          <w:tcPr>
            <w:tcW w:w="960" w:type="dxa"/>
            <w:tcBorders>
              <w:top w:val="nil"/>
              <w:left w:val="nil"/>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Korea</w:t>
            </w:r>
          </w:p>
        </w:tc>
        <w:tc>
          <w:tcPr>
            <w:tcW w:w="960" w:type="dxa"/>
            <w:tcBorders>
              <w:top w:val="nil"/>
              <w:left w:val="nil"/>
              <w:bottom w:val="single" w:sz="4" w:space="0" w:color="auto"/>
              <w:right w:val="single" w:sz="12"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260</w:t>
            </w:r>
          </w:p>
        </w:tc>
        <w:tc>
          <w:tcPr>
            <w:tcW w:w="960" w:type="dxa"/>
            <w:tcBorders>
              <w:top w:val="nil"/>
              <w:left w:val="single" w:sz="12" w:space="0" w:color="auto"/>
              <w:bottom w:val="single" w:sz="4"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Brazílie</w:t>
            </w:r>
          </w:p>
        </w:tc>
        <w:tc>
          <w:tcPr>
            <w:tcW w:w="960" w:type="dxa"/>
            <w:tcBorders>
              <w:top w:val="nil"/>
              <w:left w:val="nil"/>
              <w:bottom w:val="single" w:sz="4" w:space="0" w:color="auto"/>
              <w:right w:val="single" w:sz="18"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212</w:t>
            </w:r>
          </w:p>
        </w:tc>
      </w:tr>
      <w:tr w:rsidR="00DF128A" w:rsidRPr="00DF128A" w:rsidTr="00DF128A">
        <w:trPr>
          <w:trHeight w:val="270"/>
        </w:trPr>
        <w:tc>
          <w:tcPr>
            <w:tcW w:w="780" w:type="dxa"/>
            <w:tcBorders>
              <w:top w:val="nil"/>
              <w:left w:val="single" w:sz="18" w:space="0" w:color="auto"/>
              <w:bottom w:val="single" w:sz="18" w:space="0" w:color="auto"/>
              <w:right w:val="double" w:sz="6" w:space="0" w:color="auto"/>
            </w:tcBorders>
            <w:shd w:val="clear" w:color="auto" w:fill="auto"/>
            <w:noWrap/>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15.</w:t>
            </w:r>
          </w:p>
        </w:tc>
        <w:tc>
          <w:tcPr>
            <w:tcW w:w="960" w:type="dxa"/>
            <w:tcBorders>
              <w:top w:val="nil"/>
              <w:left w:val="nil"/>
              <w:bottom w:val="single" w:sz="18"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Polsko</w:t>
            </w:r>
          </w:p>
        </w:tc>
        <w:tc>
          <w:tcPr>
            <w:tcW w:w="960" w:type="dxa"/>
            <w:tcBorders>
              <w:top w:val="nil"/>
              <w:left w:val="nil"/>
              <w:bottom w:val="single" w:sz="18" w:space="0" w:color="auto"/>
              <w:right w:val="single" w:sz="12"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257</w:t>
            </w:r>
          </w:p>
        </w:tc>
        <w:tc>
          <w:tcPr>
            <w:tcW w:w="960" w:type="dxa"/>
            <w:tcBorders>
              <w:top w:val="nil"/>
              <w:left w:val="single" w:sz="12" w:space="0" w:color="auto"/>
              <w:bottom w:val="single" w:sz="18" w:space="0" w:color="auto"/>
              <w:right w:val="single" w:sz="4"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Francie</w:t>
            </w:r>
          </w:p>
        </w:tc>
        <w:tc>
          <w:tcPr>
            <w:tcW w:w="960" w:type="dxa"/>
            <w:tcBorders>
              <w:top w:val="nil"/>
              <w:left w:val="nil"/>
              <w:bottom w:val="single" w:sz="18" w:space="0" w:color="auto"/>
              <w:right w:val="single" w:sz="18" w:space="0" w:color="auto"/>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eastAsia="Arial Unicode MS" w:cstheme="minorHAnsi"/>
                <w:sz w:val="20"/>
                <w:szCs w:val="20"/>
              </w:rPr>
              <w:t>199</w:t>
            </w:r>
          </w:p>
        </w:tc>
      </w:tr>
    </w:tbl>
    <w:p w:rsidR="00DF128A" w:rsidRPr="00DF128A" w:rsidRDefault="00DF128A" w:rsidP="008843BB">
      <w:pPr>
        <w:widowControl w:val="0"/>
        <w:autoSpaceDE w:val="0"/>
        <w:autoSpaceDN w:val="0"/>
        <w:adjustRightInd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Zdroj: FAOSTAT</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p>
    <w:p w:rsidR="00DF128A" w:rsidRPr="00DF128A" w:rsidRDefault="00DF128A" w:rsidP="008843BB">
      <w:pPr>
        <w:widowControl w:val="0"/>
        <w:autoSpaceDE w:val="0"/>
        <w:autoSpaceDN w:val="0"/>
        <w:adjustRightInd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Kdo ovládá banánový trh?</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color w:val="000000"/>
          <w:sz w:val="24"/>
          <w:szCs w:val="24"/>
        </w:rPr>
        <w:t xml:space="preserve">Banánový obchod je kontrolovaný 5 velkými nadnárodními společnostmi, které dohromady ovládají 75 % světového obchodu. Jedná se o tyto společnosti: </w:t>
      </w:r>
      <w:r w:rsidRPr="00DF128A">
        <w:rPr>
          <w:rFonts w:ascii="Times New Roman" w:hAnsi="Times New Roman" w:cs="Times New Roman"/>
          <w:b/>
          <w:bCs/>
          <w:color w:val="000000"/>
          <w:sz w:val="24"/>
          <w:szCs w:val="24"/>
        </w:rPr>
        <w:t>Dole</w:t>
      </w:r>
      <w:r w:rsidRPr="00DF128A">
        <w:rPr>
          <w:rFonts w:ascii="Times New Roman" w:hAnsi="Times New Roman" w:cs="Times New Roman"/>
          <w:bCs/>
          <w:color w:val="000000"/>
          <w:sz w:val="24"/>
          <w:szCs w:val="24"/>
        </w:rPr>
        <w:t xml:space="preserve"> Food Company, </w:t>
      </w:r>
      <w:r w:rsidRPr="00DF128A">
        <w:rPr>
          <w:rFonts w:ascii="Times New Roman" w:hAnsi="Times New Roman" w:cs="Times New Roman"/>
          <w:b/>
          <w:bCs/>
          <w:color w:val="000000"/>
          <w:sz w:val="24"/>
          <w:szCs w:val="24"/>
        </w:rPr>
        <w:t>Chiquita</w:t>
      </w:r>
      <w:r w:rsidRPr="00DF128A">
        <w:rPr>
          <w:rFonts w:ascii="Times New Roman" w:hAnsi="Times New Roman" w:cs="Times New Roman"/>
          <w:bCs/>
          <w:color w:val="000000"/>
          <w:sz w:val="24"/>
          <w:szCs w:val="24"/>
        </w:rPr>
        <w:t xml:space="preserve"> Brands International, </w:t>
      </w:r>
      <w:r w:rsidRPr="00DF128A">
        <w:rPr>
          <w:rFonts w:ascii="Times New Roman" w:hAnsi="Times New Roman" w:cs="Times New Roman"/>
          <w:sz w:val="24"/>
          <w:szCs w:val="24"/>
        </w:rPr>
        <w:t xml:space="preserve">Fresh </w:t>
      </w:r>
      <w:r w:rsidRPr="00DF128A">
        <w:rPr>
          <w:rFonts w:ascii="Times New Roman" w:hAnsi="Times New Roman" w:cs="Times New Roman"/>
          <w:b/>
          <w:sz w:val="24"/>
          <w:szCs w:val="24"/>
        </w:rPr>
        <w:t>Del Monte</w:t>
      </w:r>
      <w:r w:rsidRPr="00DF128A">
        <w:rPr>
          <w:rFonts w:ascii="Times New Roman" w:hAnsi="Times New Roman" w:cs="Times New Roman"/>
          <w:sz w:val="24"/>
          <w:szCs w:val="24"/>
        </w:rPr>
        <w:t xml:space="preserve"> Produce,  Exportadora Bananera </w:t>
      </w:r>
      <w:r w:rsidRPr="00DF128A">
        <w:rPr>
          <w:rFonts w:ascii="Times New Roman" w:hAnsi="Times New Roman" w:cs="Times New Roman"/>
          <w:b/>
          <w:sz w:val="24"/>
          <w:szCs w:val="24"/>
        </w:rPr>
        <w:t>Noboa</w:t>
      </w:r>
      <w:r w:rsidRPr="00DF128A">
        <w:rPr>
          <w:rFonts w:ascii="Times New Roman" w:hAnsi="Times New Roman" w:cs="Times New Roman"/>
          <w:sz w:val="24"/>
          <w:szCs w:val="24"/>
        </w:rPr>
        <w:t xml:space="preserve">, </w:t>
      </w:r>
      <w:r w:rsidRPr="00DF128A">
        <w:rPr>
          <w:rFonts w:ascii="Times New Roman" w:hAnsi="Times New Roman" w:cs="Times New Roman"/>
          <w:b/>
          <w:sz w:val="24"/>
          <w:szCs w:val="24"/>
        </w:rPr>
        <w:t>Fyffes</w:t>
      </w:r>
      <w:r w:rsidRPr="00DF128A">
        <w:rPr>
          <w:rFonts w:ascii="Times New Roman" w:hAnsi="Times New Roman" w:cs="Times New Roman"/>
          <w:sz w:val="24"/>
          <w:szCs w:val="24"/>
        </w:rPr>
        <w:t xml:space="preserve">. V roce 1999 světový banánový trh z 80 % ovládala tato „velká pětka“ (viz. tab. 3.). </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Podíl společnosti </w:t>
      </w:r>
      <w:r w:rsidRPr="00DF128A">
        <w:rPr>
          <w:rFonts w:ascii="Times New Roman" w:hAnsi="Times New Roman" w:cs="Times New Roman"/>
          <w:b/>
          <w:sz w:val="24"/>
          <w:szCs w:val="24"/>
          <w:u w:val="single"/>
        </w:rPr>
        <w:t>Chiquita</w:t>
      </w:r>
      <w:r w:rsidRPr="00DF128A">
        <w:rPr>
          <w:rFonts w:ascii="Times New Roman" w:hAnsi="Times New Roman" w:cs="Times New Roman"/>
          <w:sz w:val="24"/>
          <w:szCs w:val="24"/>
        </w:rPr>
        <w:t xml:space="preserve"> na světovém banánovém trhu během devadesátých let značně poklesl (z 34 % v roce 1992 na 25 % v roce 1999) což souviselo se zavedením Evropské banánové politiky v roce 1993. Naopak podíl </w:t>
      </w:r>
      <w:r w:rsidRPr="00DF128A">
        <w:rPr>
          <w:rFonts w:ascii="Times New Roman" w:hAnsi="Times New Roman" w:cs="Times New Roman"/>
          <w:b/>
          <w:sz w:val="24"/>
          <w:szCs w:val="24"/>
          <w:u w:val="single"/>
        </w:rPr>
        <w:t>Dole</w:t>
      </w:r>
      <w:r w:rsidRPr="00DF128A">
        <w:rPr>
          <w:rFonts w:ascii="Times New Roman" w:hAnsi="Times New Roman" w:cs="Times New Roman"/>
          <w:b/>
          <w:sz w:val="24"/>
          <w:szCs w:val="24"/>
        </w:rPr>
        <w:t xml:space="preserve"> </w:t>
      </w:r>
      <w:r w:rsidRPr="00DF128A">
        <w:rPr>
          <w:rFonts w:ascii="Times New Roman" w:hAnsi="Times New Roman" w:cs="Times New Roman"/>
          <w:sz w:val="24"/>
          <w:szCs w:val="24"/>
        </w:rPr>
        <w:t>na světovém obchodu se v roce 1999 ve srovnání s rokem 1992 zvýšil. Přístupy jednotlivých společností k banánovému obchodu se různily. Chiquita zastávala více obranné či konzervativní tržní strategie. Chiquita měla strategii preferující značku (dobré jméno společnosti) nad cenou. Banány budou dražší, ale značka bude symbolem kvalitních výrobků</w:t>
      </w:r>
      <w:r w:rsidRPr="00DF128A">
        <w:rPr>
          <w:rStyle w:val="Znakapoznpodarou"/>
          <w:rFonts w:ascii="Times New Roman" w:hAnsi="Times New Roman" w:cs="Times New Roman"/>
          <w:sz w:val="24"/>
          <w:szCs w:val="24"/>
        </w:rPr>
        <w:footnoteReference w:id="26"/>
      </w:r>
      <w:r w:rsidRPr="00DF128A">
        <w:rPr>
          <w:rFonts w:ascii="Times New Roman" w:hAnsi="Times New Roman" w:cs="Times New Roman"/>
          <w:sz w:val="24"/>
          <w:szCs w:val="24"/>
        </w:rPr>
        <w:t>. Na druhé straně, Dole, Fyffes, Del Monte, byly více aktivní nebo dokonce agresivní v tržních strategiích. Dole a Del Monte přemístili produkci do ACP</w:t>
      </w:r>
      <w:r w:rsidRPr="00DF128A">
        <w:rPr>
          <w:rStyle w:val="Znakapoznpodarou"/>
          <w:rFonts w:ascii="Times New Roman" w:hAnsi="Times New Roman" w:cs="Times New Roman"/>
          <w:sz w:val="24"/>
          <w:szCs w:val="24"/>
        </w:rPr>
        <w:footnoteReference w:id="27"/>
      </w:r>
      <w:r w:rsidRPr="00DF128A">
        <w:rPr>
          <w:rFonts w:ascii="Times New Roman" w:hAnsi="Times New Roman" w:cs="Times New Roman"/>
          <w:sz w:val="24"/>
          <w:szCs w:val="24"/>
        </w:rPr>
        <w:t xml:space="preserve"> zemí, zatímco Fyffes se orientovala na latinskoamerické země. (UNCTAD, 2007)</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p>
    <w:p w:rsidR="00E20A69" w:rsidRDefault="00E20A69">
      <w:pPr>
        <w:rPr>
          <w:rFonts w:ascii="Times New Roman" w:hAnsi="Times New Roman" w:cs="Times New Roman"/>
          <w:b/>
          <w:sz w:val="24"/>
          <w:szCs w:val="24"/>
        </w:rPr>
      </w:pPr>
      <w:r>
        <w:rPr>
          <w:rFonts w:ascii="Times New Roman" w:hAnsi="Times New Roman" w:cs="Times New Roman"/>
          <w:b/>
          <w:sz w:val="24"/>
          <w:szCs w:val="24"/>
        </w:rPr>
        <w:br w:type="page"/>
      </w:r>
    </w:p>
    <w:p w:rsidR="00DF128A" w:rsidRPr="00DF128A" w:rsidRDefault="00DF128A" w:rsidP="008843BB">
      <w:pPr>
        <w:widowControl w:val="0"/>
        <w:autoSpaceDE w:val="0"/>
        <w:autoSpaceDN w:val="0"/>
        <w:adjustRightInd w:val="0"/>
        <w:spacing w:line="276" w:lineRule="auto"/>
        <w:jc w:val="both"/>
        <w:rPr>
          <w:rFonts w:ascii="Times New Roman" w:hAnsi="Times New Roman" w:cs="Times New Roman"/>
          <w:sz w:val="24"/>
          <w:szCs w:val="24"/>
        </w:rPr>
      </w:pPr>
      <w:r w:rsidRPr="00E20A69">
        <w:rPr>
          <w:rFonts w:ascii="Times New Roman" w:hAnsi="Times New Roman" w:cs="Times New Roman"/>
          <w:sz w:val="24"/>
          <w:szCs w:val="24"/>
        </w:rPr>
        <w:lastRenderedPageBreak/>
        <w:t>Tab. 3.</w:t>
      </w:r>
      <w:r w:rsidR="00E20A69">
        <w:rPr>
          <w:rFonts w:ascii="Times New Roman" w:hAnsi="Times New Roman" w:cs="Times New Roman"/>
          <w:sz w:val="24"/>
          <w:szCs w:val="24"/>
        </w:rPr>
        <w:t>:</w:t>
      </w:r>
      <w:r w:rsidRPr="00E20A69">
        <w:rPr>
          <w:rFonts w:ascii="Times New Roman" w:hAnsi="Times New Roman" w:cs="Times New Roman"/>
          <w:sz w:val="24"/>
          <w:szCs w:val="24"/>
        </w:rPr>
        <w:t xml:space="preserve"> </w:t>
      </w:r>
      <w:r w:rsidRPr="00DF128A">
        <w:rPr>
          <w:rFonts w:ascii="Times New Roman" w:hAnsi="Times New Roman" w:cs="Times New Roman"/>
          <w:sz w:val="24"/>
          <w:szCs w:val="24"/>
        </w:rPr>
        <w:t>Podíl největších banánových společností na světovém trhu s baná</w:t>
      </w:r>
      <w:r w:rsidR="008843BB">
        <w:rPr>
          <w:rFonts w:ascii="Times New Roman" w:hAnsi="Times New Roman" w:cs="Times New Roman"/>
          <w:sz w:val="24"/>
          <w:szCs w:val="24"/>
        </w:rPr>
        <w:t>ny.</w:t>
      </w:r>
    </w:p>
    <w:tbl>
      <w:tblPr>
        <w:tblW w:w="5000" w:type="pct"/>
        <w:tblInd w:w="55" w:type="dxa"/>
        <w:tblCellMar>
          <w:left w:w="70" w:type="dxa"/>
          <w:right w:w="70" w:type="dxa"/>
        </w:tblCellMar>
        <w:tblLook w:val="0000" w:firstRow="0" w:lastRow="0" w:firstColumn="0" w:lastColumn="0" w:noHBand="0" w:noVBand="0"/>
      </w:tblPr>
      <w:tblGrid>
        <w:gridCol w:w="1900"/>
        <w:gridCol w:w="1828"/>
        <w:gridCol w:w="1828"/>
        <w:gridCol w:w="1828"/>
        <w:gridCol w:w="1828"/>
      </w:tblGrid>
      <w:tr w:rsidR="00DF128A" w:rsidRPr="00DF128A" w:rsidTr="00DF128A">
        <w:trPr>
          <w:trHeight w:val="285"/>
        </w:trPr>
        <w:tc>
          <w:tcPr>
            <w:tcW w:w="960" w:type="dxa"/>
            <w:tcBorders>
              <w:top w:val="single" w:sz="18" w:space="0" w:color="auto"/>
              <w:left w:val="single" w:sz="18" w:space="0" w:color="auto"/>
              <w:bottom w:val="double" w:sz="6" w:space="0" w:color="auto"/>
              <w:right w:val="double" w:sz="6" w:space="0" w:color="auto"/>
            </w:tcBorders>
            <w:shd w:val="clear" w:color="auto" w:fill="969696"/>
            <w:noWrap/>
            <w:vAlign w:val="bottom"/>
          </w:tcPr>
          <w:p w:rsidR="00DF128A" w:rsidRPr="008843BB" w:rsidRDefault="00DF128A" w:rsidP="00DF128A">
            <w:pPr>
              <w:widowControl w:val="0"/>
              <w:spacing w:line="276" w:lineRule="auto"/>
              <w:ind w:firstLine="709"/>
              <w:jc w:val="both"/>
              <w:rPr>
                <w:rFonts w:cstheme="minorHAnsi"/>
                <w:b/>
                <w:bCs/>
                <w:sz w:val="20"/>
                <w:szCs w:val="20"/>
              </w:rPr>
            </w:pPr>
            <w:r w:rsidRPr="008843BB">
              <w:rPr>
                <w:rFonts w:cstheme="minorHAnsi"/>
                <w:b/>
                <w:bCs/>
                <w:sz w:val="20"/>
                <w:szCs w:val="20"/>
              </w:rPr>
              <w:t>Korporace</w:t>
            </w:r>
          </w:p>
        </w:tc>
        <w:tc>
          <w:tcPr>
            <w:tcW w:w="960" w:type="dxa"/>
            <w:tcBorders>
              <w:top w:val="single" w:sz="18" w:space="0" w:color="auto"/>
              <w:left w:val="nil"/>
              <w:bottom w:val="double" w:sz="6" w:space="0" w:color="auto"/>
              <w:right w:val="single" w:sz="4" w:space="0" w:color="auto"/>
            </w:tcBorders>
            <w:shd w:val="clear" w:color="auto" w:fill="969696"/>
            <w:noWrap/>
            <w:vAlign w:val="bottom"/>
          </w:tcPr>
          <w:p w:rsidR="00DF128A" w:rsidRPr="008843BB" w:rsidRDefault="00DF128A" w:rsidP="00DF128A">
            <w:pPr>
              <w:widowControl w:val="0"/>
              <w:spacing w:line="276" w:lineRule="auto"/>
              <w:ind w:firstLine="709"/>
              <w:jc w:val="both"/>
              <w:rPr>
                <w:rFonts w:cstheme="minorHAnsi"/>
                <w:b/>
                <w:bCs/>
                <w:sz w:val="20"/>
                <w:szCs w:val="20"/>
              </w:rPr>
            </w:pPr>
            <w:r w:rsidRPr="008843BB">
              <w:rPr>
                <w:rFonts w:cstheme="minorHAnsi"/>
                <w:b/>
                <w:bCs/>
                <w:sz w:val="20"/>
                <w:szCs w:val="20"/>
              </w:rPr>
              <w:t>1992</w:t>
            </w:r>
          </w:p>
        </w:tc>
        <w:tc>
          <w:tcPr>
            <w:tcW w:w="960" w:type="dxa"/>
            <w:tcBorders>
              <w:top w:val="single" w:sz="18" w:space="0" w:color="auto"/>
              <w:left w:val="nil"/>
              <w:bottom w:val="double" w:sz="6" w:space="0" w:color="auto"/>
              <w:right w:val="single" w:sz="4" w:space="0" w:color="auto"/>
            </w:tcBorders>
            <w:shd w:val="clear" w:color="auto" w:fill="969696"/>
            <w:noWrap/>
            <w:vAlign w:val="bottom"/>
          </w:tcPr>
          <w:p w:rsidR="00DF128A" w:rsidRPr="008843BB" w:rsidRDefault="00DF128A" w:rsidP="00DF128A">
            <w:pPr>
              <w:widowControl w:val="0"/>
              <w:spacing w:line="276" w:lineRule="auto"/>
              <w:ind w:firstLine="709"/>
              <w:jc w:val="both"/>
              <w:rPr>
                <w:rFonts w:cstheme="minorHAnsi"/>
                <w:b/>
                <w:bCs/>
                <w:sz w:val="20"/>
                <w:szCs w:val="20"/>
              </w:rPr>
            </w:pPr>
            <w:r w:rsidRPr="008843BB">
              <w:rPr>
                <w:rFonts w:cstheme="minorHAnsi"/>
                <w:b/>
                <w:bCs/>
                <w:sz w:val="20"/>
                <w:szCs w:val="20"/>
              </w:rPr>
              <w:t>1995</w:t>
            </w:r>
          </w:p>
        </w:tc>
        <w:tc>
          <w:tcPr>
            <w:tcW w:w="960" w:type="dxa"/>
            <w:tcBorders>
              <w:top w:val="single" w:sz="18" w:space="0" w:color="auto"/>
              <w:left w:val="nil"/>
              <w:bottom w:val="double" w:sz="6" w:space="0" w:color="auto"/>
              <w:right w:val="single" w:sz="4" w:space="0" w:color="auto"/>
            </w:tcBorders>
            <w:shd w:val="clear" w:color="auto" w:fill="969696"/>
            <w:noWrap/>
            <w:vAlign w:val="bottom"/>
          </w:tcPr>
          <w:p w:rsidR="00DF128A" w:rsidRPr="008843BB" w:rsidRDefault="00DF128A" w:rsidP="00DF128A">
            <w:pPr>
              <w:widowControl w:val="0"/>
              <w:spacing w:line="276" w:lineRule="auto"/>
              <w:ind w:firstLine="709"/>
              <w:jc w:val="both"/>
              <w:rPr>
                <w:rFonts w:cstheme="minorHAnsi"/>
                <w:b/>
                <w:bCs/>
                <w:sz w:val="20"/>
                <w:szCs w:val="20"/>
              </w:rPr>
            </w:pPr>
            <w:r w:rsidRPr="008843BB">
              <w:rPr>
                <w:rFonts w:cstheme="minorHAnsi"/>
                <w:b/>
                <w:bCs/>
                <w:sz w:val="20"/>
                <w:szCs w:val="20"/>
              </w:rPr>
              <w:t>1997</w:t>
            </w:r>
          </w:p>
        </w:tc>
        <w:tc>
          <w:tcPr>
            <w:tcW w:w="960" w:type="dxa"/>
            <w:tcBorders>
              <w:top w:val="single" w:sz="18" w:space="0" w:color="auto"/>
              <w:left w:val="nil"/>
              <w:bottom w:val="double" w:sz="6" w:space="0" w:color="auto"/>
              <w:right w:val="single" w:sz="18" w:space="0" w:color="auto"/>
            </w:tcBorders>
            <w:shd w:val="clear" w:color="auto" w:fill="969696"/>
            <w:noWrap/>
            <w:vAlign w:val="bottom"/>
          </w:tcPr>
          <w:p w:rsidR="00DF128A" w:rsidRPr="008843BB" w:rsidRDefault="00DF128A" w:rsidP="00DF128A">
            <w:pPr>
              <w:widowControl w:val="0"/>
              <w:spacing w:line="276" w:lineRule="auto"/>
              <w:ind w:firstLine="709"/>
              <w:jc w:val="both"/>
              <w:rPr>
                <w:rFonts w:cstheme="minorHAnsi"/>
                <w:b/>
                <w:bCs/>
                <w:sz w:val="20"/>
                <w:szCs w:val="20"/>
              </w:rPr>
            </w:pPr>
            <w:r w:rsidRPr="008843BB">
              <w:rPr>
                <w:rFonts w:cstheme="minorHAnsi"/>
                <w:b/>
                <w:bCs/>
                <w:sz w:val="20"/>
                <w:szCs w:val="20"/>
              </w:rPr>
              <w:t>1999</w:t>
            </w:r>
          </w:p>
        </w:tc>
      </w:tr>
      <w:tr w:rsidR="00DF128A" w:rsidRPr="00DF128A" w:rsidTr="00DF128A">
        <w:trPr>
          <w:trHeight w:val="270"/>
        </w:trPr>
        <w:tc>
          <w:tcPr>
            <w:tcW w:w="960" w:type="dxa"/>
            <w:tcBorders>
              <w:top w:val="nil"/>
              <w:left w:val="single" w:sz="18" w:space="0" w:color="auto"/>
              <w:bottom w:val="single" w:sz="4" w:space="0" w:color="auto"/>
              <w:right w:val="double" w:sz="6" w:space="0" w:color="auto"/>
            </w:tcBorders>
            <w:shd w:val="clear" w:color="auto" w:fill="C0C0C0"/>
            <w:noWrap/>
            <w:vAlign w:val="center"/>
          </w:tcPr>
          <w:p w:rsidR="00DF128A" w:rsidRPr="008843BB" w:rsidRDefault="00DF128A" w:rsidP="00DF128A">
            <w:pPr>
              <w:widowControl w:val="0"/>
              <w:spacing w:line="276" w:lineRule="auto"/>
              <w:ind w:firstLine="709"/>
              <w:jc w:val="both"/>
              <w:rPr>
                <w:rFonts w:cstheme="minorHAnsi"/>
                <w:i/>
                <w:iCs/>
                <w:sz w:val="20"/>
                <w:szCs w:val="20"/>
              </w:rPr>
            </w:pPr>
            <w:r w:rsidRPr="008843BB">
              <w:rPr>
                <w:rFonts w:cstheme="minorHAnsi"/>
                <w:i/>
                <w:iCs/>
                <w:sz w:val="20"/>
                <w:szCs w:val="20"/>
              </w:rPr>
              <w:t>Chiquita</w:t>
            </w:r>
          </w:p>
        </w:tc>
        <w:tc>
          <w:tcPr>
            <w:tcW w:w="960" w:type="dxa"/>
            <w:tcBorders>
              <w:top w:val="nil"/>
              <w:left w:val="nil"/>
              <w:bottom w:val="single" w:sz="4" w:space="0" w:color="auto"/>
              <w:right w:val="single" w:sz="4"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34</w:t>
            </w:r>
          </w:p>
        </w:tc>
        <w:tc>
          <w:tcPr>
            <w:tcW w:w="960" w:type="dxa"/>
            <w:tcBorders>
              <w:top w:val="nil"/>
              <w:left w:val="nil"/>
              <w:bottom w:val="single" w:sz="4" w:space="0" w:color="auto"/>
              <w:right w:val="single" w:sz="4"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&gt;25</w:t>
            </w:r>
          </w:p>
        </w:tc>
        <w:tc>
          <w:tcPr>
            <w:tcW w:w="960" w:type="dxa"/>
            <w:tcBorders>
              <w:top w:val="nil"/>
              <w:left w:val="nil"/>
              <w:bottom w:val="single" w:sz="4" w:space="0" w:color="auto"/>
              <w:right w:val="single" w:sz="4"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24-25</w:t>
            </w:r>
          </w:p>
        </w:tc>
        <w:tc>
          <w:tcPr>
            <w:tcW w:w="960" w:type="dxa"/>
            <w:tcBorders>
              <w:top w:val="nil"/>
              <w:left w:val="nil"/>
              <w:bottom w:val="single" w:sz="4" w:space="0" w:color="auto"/>
              <w:right w:val="single" w:sz="18"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25</w:t>
            </w:r>
          </w:p>
        </w:tc>
      </w:tr>
      <w:tr w:rsidR="00DF128A" w:rsidRPr="00DF128A" w:rsidTr="00DF128A">
        <w:trPr>
          <w:trHeight w:val="255"/>
        </w:trPr>
        <w:tc>
          <w:tcPr>
            <w:tcW w:w="960" w:type="dxa"/>
            <w:tcBorders>
              <w:top w:val="nil"/>
              <w:left w:val="single" w:sz="18" w:space="0" w:color="auto"/>
              <w:bottom w:val="single" w:sz="4" w:space="0" w:color="auto"/>
              <w:right w:val="double" w:sz="6" w:space="0" w:color="auto"/>
            </w:tcBorders>
            <w:shd w:val="clear" w:color="auto" w:fill="C0C0C0"/>
            <w:noWrap/>
            <w:vAlign w:val="center"/>
          </w:tcPr>
          <w:p w:rsidR="00DF128A" w:rsidRPr="008843BB" w:rsidRDefault="00DF128A" w:rsidP="00DF128A">
            <w:pPr>
              <w:widowControl w:val="0"/>
              <w:spacing w:line="276" w:lineRule="auto"/>
              <w:ind w:firstLine="709"/>
              <w:jc w:val="both"/>
              <w:rPr>
                <w:rFonts w:cstheme="minorHAnsi"/>
                <w:i/>
                <w:iCs/>
                <w:sz w:val="20"/>
                <w:szCs w:val="20"/>
              </w:rPr>
            </w:pPr>
            <w:r w:rsidRPr="008843BB">
              <w:rPr>
                <w:rFonts w:cstheme="minorHAnsi"/>
                <w:i/>
                <w:iCs/>
                <w:sz w:val="20"/>
                <w:szCs w:val="20"/>
              </w:rPr>
              <w:t>Dole</w:t>
            </w:r>
          </w:p>
        </w:tc>
        <w:tc>
          <w:tcPr>
            <w:tcW w:w="960" w:type="dxa"/>
            <w:tcBorders>
              <w:top w:val="nil"/>
              <w:left w:val="nil"/>
              <w:bottom w:val="single" w:sz="4" w:space="0" w:color="auto"/>
              <w:right w:val="single" w:sz="4"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20</w:t>
            </w:r>
          </w:p>
        </w:tc>
        <w:tc>
          <w:tcPr>
            <w:tcW w:w="960" w:type="dxa"/>
            <w:tcBorders>
              <w:top w:val="nil"/>
              <w:left w:val="nil"/>
              <w:bottom w:val="single" w:sz="4" w:space="0" w:color="auto"/>
              <w:right w:val="single" w:sz="4"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22-23</w:t>
            </w:r>
          </w:p>
        </w:tc>
        <w:tc>
          <w:tcPr>
            <w:tcW w:w="960" w:type="dxa"/>
            <w:tcBorders>
              <w:top w:val="nil"/>
              <w:left w:val="nil"/>
              <w:bottom w:val="single" w:sz="4" w:space="0" w:color="auto"/>
              <w:right w:val="single" w:sz="4"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25-26</w:t>
            </w:r>
          </w:p>
        </w:tc>
        <w:tc>
          <w:tcPr>
            <w:tcW w:w="960" w:type="dxa"/>
            <w:tcBorders>
              <w:top w:val="nil"/>
              <w:left w:val="nil"/>
              <w:bottom w:val="single" w:sz="4" w:space="0" w:color="auto"/>
              <w:right w:val="single" w:sz="18"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25</w:t>
            </w:r>
          </w:p>
        </w:tc>
      </w:tr>
      <w:tr w:rsidR="00DF128A" w:rsidRPr="00DF128A" w:rsidTr="00DF128A">
        <w:trPr>
          <w:trHeight w:val="255"/>
        </w:trPr>
        <w:tc>
          <w:tcPr>
            <w:tcW w:w="960" w:type="dxa"/>
            <w:tcBorders>
              <w:top w:val="nil"/>
              <w:left w:val="single" w:sz="18" w:space="0" w:color="auto"/>
              <w:bottom w:val="single" w:sz="4" w:space="0" w:color="auto"/>
              <w:right w:val="double" w:sz="6" w:space="0" w:color="auto"/>
            </w:tcBorders>
            <w:shd w:val="clear" w:color="auto" w:fill="C0C0C0"/>
            <w:noWrap/>
            <w:vAlign w:val="center"/>
          </w:tcPr>
          <w:p w:rsidR="00DF128A" w:rsidRPr="008843BB" w:rsidRDefault="00DF128A" w:rsidP="00DF128A">
            <w:pPr>
              <w:widowControl w:val="0"/>
              <w:spacing w:line="276" w:lineRule="auto"/>
              <w:ind w:firstLine="709"/>
              <w:jc w:val="both"/>
              <w:rPr>
                <w:rFonts w:cstheme="minorHAnsi"/>
                <w:i/>
                <w:iCs/>
                <w:sz w:val="20"/>
                <w:szCs w:val="20"/>
              </w:rPr>
            </w:pPr>
            <w:r w:rsidRPr="008843BB">
              <w:rPr>
                <w:rFonts w:cstheme="minorHAnsi"/>
                <w:i/>
                <w:iCs/>
                <w:sz w:val="20"/>
                <w:szCs w:val="20"/>
              </w:rPr>
              <w:t>Del Monte</w:t>
            </w:r>
          </w:p>
        </w:tc>
        <w:tc>
          <w:tcPr>
            <w:tcW w:w="960" w:type="dxa"/>
            <w:tcBorders>
              <w:top w:val="nil"/>
              <w:left w:val="nil"/>
              <w:bottom w:val="single" w:sz="4" w:space="0" w:color="auto"/>
              <w:right w:val="single" w:sz="4"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15</w:t>
            </w:r>
          </w:p>
        </w:tc>
        <w:tc>
          <w:tcPr>
            <w:tcW w:w="960" w:type="dxa"/>
            <w:tcBorders>
              <w:top w:val="nil"/>
              <w:left w:val="nil"/>
              <w:bottom w:val="single" w:sz="4" w:space="0" w:color="auto"/>
              <w:right w:val="single" w:sz="4"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15-16</w:t>
            </w:r>
          </w:p>
        </w:tc>
        <w:tc>
          <w:tcPr>
            <w:tcW w:w="960" w:type="dxa"/>
            <w:tcBorders>
              <w:top w:val="nil"/>
              <w:left w:val="nil"/>
              <w:bottom w:val="single" w:sz="4" w:space="0" w:color="auto"/>
              <w:right w:val="single" w:sz="4"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16</w:t>
            </w:r>
          </w:p>
        </w:tc>
        <w:tc>
          <w:tcPr>
            <w:tcW w:w="960" w:type="dxa"/>
            <w:tcBorders>
              <w:top w:val="nil"/>
              <w:left w:val="nil"/>
              <w:bottom w:val="single" w:sz="4" w:space="0" w:color="auto"/>
              <w:right w:val="single" w:sz="18"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15</w:t>
            </w:r>
          </w:p>
        </w:tc>
      </w:tr>
      <w:tr w:rsidR="00DF128A" w:rsidRPr="00DF128A" w:rsidTr="00DF128A">
        <w:trPr>
          <w:trHeight w:val="255"/>
        </w:trPr>
        <w:tc>
          <w:tcPr>
            <w:tcW w:w="960" w:type="dxa"/>
            <w:tcBorders>
              <w:top w:val="nil"/>
              <w:left w:val="single" w:sz="18" w:space="0" w:color="auto"/>
              <w:bottom w:val="single" w:sz="4" w:space="0" w:color="auto"/>
              <w:right w:val="double" w:sz="6" w:space="0" w:color="auto"/>
            </w:tcBorders>
            <w:shd w:val="clear" w:color="auto" w:fill="C0C0C0"/>
            <w:noWrap/>
            <w:vAlign w:val="center"/>
          </w:tcPr>
          <w:p w:rsidR="00DF128A" w:rsidRPr="008843BB" w:rsidRDefault="00DF128A" w:rsidP="00DF128A">
            <w:pPr>
              <w:widowControl w:val="0"/>
              <w:spacing w:line="276" w:lineRule="auto"/>
              <w:ind w:firstLine="709"/>
              <w:jc w:val="both"/>
              <w:rPr>
                <w:rFonts w:cstheme="minorHAnsi"/>
                <w:i/>
                <w:iCs/>
                <w:sz w:val="20"/>
                <w:szCs w:val="20"/>
              </w:rPr>
            </w:pPr>
            <w:r w:rsidRPr="008843BB">
              <w:rPr>
                <w:rFonts w:cstheme="minorHAnsi"/>
                <w:i/>
                <w:iCs/>
                <w:sz w:val="20"/>
                <w:szCs w:val="20"/>
              </w:rPr>
              <w:t>Fyfess</w:t>
            </w:r>
          </w:p>
        </w:tc>
        <w:tc>
          <w:tcPr>
            <w:tcW w:w="960" w:type="dxa"/>
            <w:tcBorders>
              <w:top w:val="nil"/>
              <w:left w:val="nil"/>
              <w:bottom w:val="single" w:sz="4" w:space="0" w:color="auto"/>
              <w:right w:val="single" w:sz="4"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2-3</w:t>
            </w:r>
          </w:p>
        </w:tc>
        <w:tc>
          <w:tcPr>
            <w:tcW w:w="960" w:type="dxa"/>
            <w:tcBorders>
              <w:top w:val="nil"/>
              <w:left w:val="nil"/>
              <w:bottom w:val="single" w:sz="4" w:space="0" w:color="auto"/>
              <w:right w:val="single" w:sz="4"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7-8</w:t>
            </w:r>
          </w:p>
        </w:tc>
        <w:tc>
          <w:tcPr>
            <w:tcW w:w="960" w:type="dxa"/>
            <w:tcBorders>
              <w:top w:val="nil"/>
              <w:left w:val="nil"/>
              <w:bottom w:val="single" w:sz="4" w:space="0" w:color="auto"/>
              <w:right w:val="single" w:sz="4"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6-7</w:t>
            </w:r>
          </w:p>
        </w:tc>
        <w:tc>
          <w:tcPr>
            <w:tcW w:w="960" w:type="dxa"/>
            <w:tcBorders>
              <w:top w:val="nil"/>
              <w:left w:val="nil"/>
              <w:bottom w:val="single" w:sz="4" w:space="0" w:color="auto"/>
              <w:right w:val="single" w:sz="18"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7-8</w:t>
            </w:r>
          </w:p>
        </w:tc>
      </w:tr>
      <w:tr w:rsidR="00DF128A" w:rsidRPr="00DF128A" w:rsidTr="00DF128A">
        <w:trPr>
          <w:trHeight w:val="270"/>
        </w:trPr>
        <w:tc>
          <w:tcPr>
            <w:tcW w:w="960" w:type="dxa"/>
            <w:tcBorders>
              <w:top w:val="nil"/>
              <w:left w:val="single" w:sz="18" w:space="0" w:color="auto"/>
              <w:bottom w:val="single" w:sz="18" w:space="0" w:color="auto"/>
              <w:right w:val="double" w:sz="6" w:space="0" w:color="auto"/>
            </w:tcBorders>
            <w:shd w:val="clear" w:color="auto" w:fill="C0C0C0"/>
            <w:noWrap/>
            <w:vAlign w:val="center"/>
          </w:tcPr>
          <w:p w:rsidR="00DF128A" w:rsidRPr="008843BB" w:rsidRDefault="00DF128A" w:rsidP="00DF128A">
            <w:pPr>
              <w:widowControl w:val="0"/>
              <w:spacing w:line="276" w:lineRule="auto"/>
              <w:ind w:firstLine="709"/>
              <w:jc w:val="both"/>
              <w:rPr>
                <w:rFonts w:cstheme="minorHAnsi"/>
                <w:i/>
                <w:iCs/>
                <w:sz w:val="20"/>
                <w:szCs w:val="20"/>
              </w:rPr>
            </w:pPr>
            <w:r w:rsidRPr="008843BB">
              <w:rPr>
                <w:rFonts w:cstheme="minorHAnsi"/>
                <w:i/>
                <w:iCs/>
                <w:sz w:val="20"/>
                <w:szCs w:val="20"/>
              </w:rPr>
              <w:t>Noboa</w:t>
            </w:r>
          </w:p>
        </w:tc>
        <w:tc>
          <w:tcPr>
            <w:tcW w:w="960" w:type="dxa"/>
            <w:tcBorders>
              <w:top w:val="nil"/>
              <w:left w:val="nil"/>
              <w:bottom w:val="single" w:sz="18" w:space="0" w:color="auto"/>
              <w:right w:val="single" w:sz="4"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 </w:t>
            </w:r>
          </w:p>
        </w:tc>
        <w:tc>
          <w:tcPr>
            <w:tcW w:w="960" w:type="dxa"/>
            <w:tcBorders>
              <w:top w:val="nil"/>
              <w:left w:val="nil"/>
              <w:bottom w:val="single" w:sz="18" w:space="0" w:color="auto"/>
              <w:right w:val="single" w:sz="4"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12</w:t>
            </w:r>
          </w:p>
        </w:tc>
        <w:tc>
          <w:tcPr>
            <w:tcW w:w="960" w:type="dxa"/>
            <w:tcBorders>
              <w:top w:val="nil"/>
              <w:left w:val="nil"/>
              <w:bottom w:val="single" w:sz="18" w:space="0" w:color="auto"/>
              <w:right w:val="single" w:sz="4"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13</w:t>
            </w:r>
          </w:p>
        </w:tc>
        <w:tc>
          <w:tcPr>
            <w:tcW w:w="960" w:type="dxa"/>
            <w:tcBorders>
              <w:top w:val="nil"/>
              <w:left w:val="nil"/>
              <w:bottom w:val="single" w:sz="18" w:space="0" w:color="auto"/>
              <w:right w:val="single" w:sz="18" w:space="0" w:color="auto"/>
            </w:tcBorders>
            <w:shd w:val="clear" w:color="auto" w:fill="auto"/>
            <w:noWrap/>
            <w:vAlign w:val="bottom"/>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11</w:t>
            </w:r>
          </w:p>
        </w:tc>
      </w:tr>
    </w:tbl>
    <w:p w:rsidR="00DF128A" w:rsidRPr="00DF128A" w:rsidRDefault="00DF128A" w:rsidP="008843BB">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Zdroj: Van de Kasteele 1998</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8843BB">
      <w:pPr>
        <w:widowControl w:val="0"/>
        <w:spacing w:line="276" w:lineRule="auto"/>
        <w:jc w:val="both"/>
        <w:rPr>
          <w:rFonts w:ascii="Times New Roman" w:hAnsi="Times New Roman" w:cs="Times New Roman"/>
          <w:sz w:val="24"/>
          <w:szCs w:val="24"/>
        </w:rPr>
      </w:pPr>
      <w:r w:rsidRPr="00E20A69">
        <w:rPr>
          <w:rFonts w:ascii="Times New Roman" w:hAnsi="Times New Roman" w:cs="Times New Roman"/>
          <w:sz w:val="24"/>
          <w:szCs w:val="24"/>
        </w:rPr>
        <w:t>Tab. 4.</w:t>
      </w:r>
      <w:r w:rsidR="00E20A69">
        <w:rPr>
          <w:rFonts w:ascii="Times New Roman" w:hAnsi="Times New Roman" w:cs="Times New Roman"/>
          <w:sz w:val="24"/>
          <w:szCs w:val="24"/>
        </w:rPr>
        <w:t>:</w:t>
      </w:r>
      <w:r w:rsidRPr="00DF128A">
        <w:rPr>
          <w:rFonts w:ascii="Times New Roman" w:hAnsi="Times New Roman" w:cs="Times New Roman"/>
          <w:sz w:val="24"/>
          <w:szCs w:val="24"/>
        </w:rPr>
        <w:t xml:space="preserve"> Nadnárodní a národní společnosti (a jejich produkční oblasti), které vstupují na banánový trh Evropské unie v roce 2000.</w:t>
      </w:r>
    </w:p>
    <w:tbl>
      <w:tblPr>
        <w:tblW w:w="5000" w:type="pct"/>
        <w:tblInd w:w="55" w:type="dxa"/>
        <w:tblCellMar>
          <w:left w:w="70" w:type="dxa"/>
          <w:right w:w="70" w:type="dxa"/>
        </w:tblCellMar>
        <w:tblLook w:val="0000" w:firstRow="0" w:lastRow="0" w:firstColumn="0" w:lastColumn="0" w:noHBand="0" w:noVBand="0"/>
      </w:tblPr>
      <w:tblGrid>
        <w:gridCol w:w="3004"/>
        <w:gridCol w:w="6208"/>
      </w:tblGrid>
      <w:tr w:rsidR="00DF128A" w:rsidRPr="00DF128A" w:rsidTr="008843BB">
        <w:trPr>
          <w:trHeight w:val="285"/>
        </w:trPr>
        <w:tc>
          <w:tcPr>
            <w:tcW w:w="3004" w:type="dxa"/>
            <w:tcBorders>
              <w:top w:val="single" w:sz="18" w:space="0" w:color="000000"/>
              <w:left w:val="single" w:sz="18" w:space="0" w:color="000000"/>
              <w:bottom w:val="double" w:sz="6" w:space="0" w:color="auto"/>
              <w:right w:val="double" w:sz="6" w:space="0" w:color="auto"/>
            </w:tcBorders>
            <w:shd w:val="clear" w:color="auto" w:fill="969696"/>
            <w:vAlign w:val="center"/>
          </w:tcPr>
          <w:p w:rsidR="00DF128A" w:rsidRPr="008843BB" w:rsidRDefault="00DF128A" w:rsidP="008843BB">
            <w:pPr>
              <w:widowControl w:val="0"/>
              <w:spacing w:line="276" w:lineRule="auto"/>
              <w:jc w:val="both"/>
              <w:rPr>
                <w:rFonts w:cstheme="minorHAnsi"/>
                <w:b/>
                <w:bCs/>
                <w:sz w:val="20"/>
                <w:szCs w:val="20"/>
              </w:rPr>
            </w:pPr>
            <w:r w:rsidRPr="008843BB">
              <w:rPr>
                <w:rFonts w:cstheme="minorHAnsi"/>
                <w:b/>
                <w:bCs/>
                <w:sz w:val="20"/>
                <w:szCs w:val="20"/>
              </w:rPr>
              <w:t>Nadnárodní společnosti</w:t>
            </w:r>
          </w:p>
        </w:tc>
        <w:tc>
          <w:tcPr>
            <w:tcW w:w="6208" w:type="dxa"/>
            <w:tcBorders>
              <w:top w:val="single" w:sz="18" w:space="0" w:color="000000"/>
              <w:left w:val="double" w:sz="6" w:space="0" w:color="auto"/>
              <w:bottom w:val="double" w:sz="6" w:space="0" w:color="auto"/>
              <w:right w:val="single" w:sz="18" w:space="0" w:color="000000"/>
            </w:tcBorders>
            <w:shd w:val="clear" w:color="auto" w:fill="969696"/>
            <w:vAlign w:val="center"/>
          </w:tcPr>
          <w:p w:rsidR="00DF128A" w:rsidRPr="008843BB" w:rsidRDefault="00DF128A" w:rsidP="00DF128A">
            <w:pPr>
              <w:widowControl w:val="0"/>
              <w:spacing w:line="276" w:lineRule="auto"/>
              <w:ind w:firstLine="709"/>
              <w:jc w:val="both"/>
              <w:rPr>
                <w:rFonts w:cstheme="minorHAnsi"/>
                <w:b/>
                <w:bCs/>
                <w:sz w:val="20"/>
                <w:szCs w:val="20"/>
              </w:rPr>
            </w:pPr>
            <w:r w:rsidRPr="008843BB">
              <w:rPr>
                <w:rFonts w:cstheme="minorHAnsi"/>
                <w:b/>
                <w:bCs/>
                <w:sz w:val="20"/>
                <w:szCs w:val="20"/>
              </w:rPr>
              <w:t>Produkce</w:t>
            </w:r>
          </w:p>
        </w:tc>
      </w:tr>
      <w:tr w:rsidR="00DF128A" w:rsidRPr="00DF128A" w:rsidTr="008843BB">
        <w:trPr>
          <w:trHeight w:val="337"/>
        </w:trPr>
        <w:tc>
          <w:tcPr>
            <w:tcW w:w="3004" w:type="dxa"/>
            <w:vMerge w:val="restart"/>
            <w:tcBorders>
              <w:top w:val="double" w:sz="6" w:space="0" w:color="auto"/>
              <w:left w:val="single" w:sz="18" w:space="0" w:color="000000"/>
              <w:bottom w:val="single" w:sz="4" w:space="0" w:color="auto"/>
              <w:right w:val="double" w:sz="6" w:space="0" w:color="000000"/>
            </w:tcBorders>
            <w:shd w:val="clear" w:color="auto" w:fill="C0C0C0"/>
            <w:vAlign w:val="center"/>
          </w:tcPr>
          <w:p w:rsidR="00DF128A" w:rsidRPr="008843BB" w:rsidRDefault="00DF128A" w:rsidP="008843BB">
            <w:pPr>
              <w:widowControl w:val="0"/>
              <w:spacing w:line="276" w:lineRule="auto"/>
              <w:jc w:val="both"/>
              <w:rPr>
                <w:rFonts w:cstheme="minorHAnsi"/>
                <w:b/>
                <w:bCs/>
                <w:i/>
                <w:iCs/>
                <w:sz w:val="20"/>
                <w:szCs w:val="20"/>
              </w:rPr>
            </w:pPr>
            <w:r w:rsidRPr="008843BB">
              <w:rPr>
                <w:rFonts w:cstheme="minorHAnsi"/>
                <w:b/>
                <w:bCs/>
                <w:i/>
                <w:iCs/>
                <w:sz w:val="20"/>
                <w:szCs w:val="20"/>
                <w:lang w:val="en-GB"/>
              </w:rPr>
              <w:t xml:space="preserve">Chiquita Brand International </w:t>
            </w:r>
            <w:r w:rsidRPr="008843BB">
              <w:rPr>
                <w:rFonts w:cstheme="minorHAnsi"/>
                <w:i/>
                <w:iCs/>
                <w:sz w:val="20"/>
                <w:szCs w:val="20"/>
                <w:lang w:val="en-GB"/>
              </w:rPr>
              <w:t xml:space="preserve">                   (USA)</w:t>
            </w:r>
          </w:p>
        </w:tc>
        <w:tc>
          <w:tcPr>
            <w:tcW w:w="6208" w:type="dxa"/>
            <w:vMerge w:val="restart"/>
            <w:tcBorders>
              <w:top w:val="nil"/>
              <w:left w:val="nil"/>
              <w:bottom w:val="single" w:sz="4" w:space="0" w:color="auto"/>
              <w:right w:val="single" w:sz="18" w:space="0" w:color="000000"/>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Kostarika, Honduras, Guatemala, Panama, Kolumbie, Indonésie, Pobřeží slonoviny, Kamerun, Ekvádor, Martinique, Belize, Surinam, Jamajka, Filipíny, Dominikánská Rep., Kanarské ostrovy</w:t>
            </w:r>
          </w:p>
        </w:tc>
      </w:tr>
      <w:tr w:rsidR="00DF128A" w:rsidRPr="00DF128A" w:rsidTr="008843BB">
        <w:trPr>
          <w:trHeight w:val="337"/>
        </w:trPr>
        <w:tc>
          <w:tcPr>
            <w:tcW w:w="3004" w:type="dxa"/>
            <w:vMerge/>
            <w:tcBorders>
              <w:top w:val="double" w:sz="6" w:space="0" w:color="auto"/>
              <w:left w:val="single" w:sz="18" w:space="0" w:color="000000"/>
              <w:bottom w:val="single" w:sz="4" w:space="0" w:color="auto"/>
              <w:right w:val="double" w:sz="6" w:space="0" w:color="000000"/>
            </w:tcBorders>
            <w:shd w:val="clear" w:color="auto" w:fill="auto"/>
            <w:vAlign w:val="center"/>
          </w:tcPr>
          <w:p w:rsidR="00DF128A" w:rsidRPr="008843BB" w:rsidRDefault="00DF128A" w:rsidP="00DF128A">
            <w:pPr>
              <w:widowControl w:val="0"/>
              <w:spacing w:line="276" w:lineRule="auto"/>
              <w:ind w:firstLine="709"/>
              <w:jc w:val="both"/>
              <w:rPr>
                <w:rFonts w:cstheme="minorHAnsi"/>
                <w:b/>
                <w:bCs/>
                <w:i/>
                <w:iCs/>
                <w:sz w:val="20"/>
                <w:szCs w:val="20"/>
              </w:rPr>
            </w:pPr>
          </w:p>
        </w:tc>
        <w:tc>
          <w:tcPr>
            <w:tcW w:w="6208" w:type="dxa"/>
            <w:vMerge/>
            <w:tcBorders>
              <w:top w:val="nil"/>
              <w:left w:val="nil"/>
              <w:bottom w:val="single" w:sz="4" w:space="0" w:color="auto"/>
              <w:right w:val="single" w:sz="18" w:space="0" w:color="000000"/>
            </w:tcBorders>
            <w:shd w:val="clear" w:color="auto" w:fill="auto"/>
            <w:vAlign w:val="center"/>
          </w:tcPr>
          <w:p w:rsidR="00DF128A" w:rsidRPr="008843BB" w:rsidRDefault="00DF128A" w:rsidP="00DF128A">
            <w:pPr>
              <w:widowControl w:val="0"/>
              <w:spacing w:line="276" w:lineRule="auto"/>
              <w:ind w:firstLine="709"/>
              <w:jc w:val="both"/>
              <w:rPr>
                <w:rFonts w:cstheme="minorHAnsi"/>
                <w:sz w:val="20"/>
                <w:szCs w:val="20"/>
              </w:rPr>
            </w:pPr>
          </w:p>
        </w:tc>
      </w:tr>
      <w:tr w:rsidR="00DF128A" w:rsidRPr="00DF128A" w:rsidTr="008843BB">
        <w:trPr>
          <w:trHeight w:val="337"/>
        </w:trPr>
        <w:tc>
          <w:tcPr>
            <w:tcW w:w="3004" w:type="dxa"/>
            <w:vMerge/>
            <w:tcBorders>
              <w:top w:val="double" w:sz="6" w:space="0" w:color="auto"/>
              <w:left w:val="single" w:sz="18" w:space="0" w:color="000000"/>
              <w:bottom w:val="single" w:sz="4" w:space="0" w:color="auto"/>
              <w:right w:val="double" w:sz="6" w:space="0" w:color="000000"/>
            </w:tcBorders>
            <w:shd w:val="clear" w:color="auto" w:fill="auto"/>
            <w:vAlign w:val="center"/>
          </w:tcPr>
          <w:p w:rsidR="00DF128A" w:rsidRPr="008843BB" w:rsidRDefault="00DF128A" w:rsidP="00DF128A">
            <w:pPr>
              <w:widowControl w:val="0"/>
              <w:spacing w:line="276" w:lineRule="auto"/>
              <w:ind w:firstLine="709"/>
              <w:jc w:val="both"/>
              <w:rPr>
                <w:rFonts w:cstheme="minorHAnsi"/>
                <w:b/>
                <w:bCs/>
                <w:i/>
                <w:iCs/>
                <w:sz w:val="20"/>
                <w:szCs w:val="20"/>
              </w:rPr>
            </w:pPr>
          </w:p>
        </w:tc>
        <w:tc>
          <w:tcPr>
            <w:tcW w:w="6208" w:type="dxa"/>
            <w:vMerge/>
            <w:tcBorders>
              <w:top w:val="nil"/>
              <w:left w:val="nil"/>
              <w:bottom w:val="single" w:sz="4" w:space="0" w:color="auto"/>
              <w:right w:val="single" w:sz="18" w:space="0" w:color="000000"/>
            </w:tcBorders>
            <w:shd w:val="clear" w:color="auto" w:fill="auto"/>
            <w:vAlign w:val="center"/>
          </w:tcPr>
          <w:p w:rsidR="00DF128A" w:rsidRPr="008843BB" w:rsidRDefault="00DF128A" w:rsidP="00DF128A">
            <w:pPr>
              <w:widowControl w:val="0"/>
              <w:spacing w:line="276" w:lineRule="auto"/>
              <w:ind w:firstLine="709"/>
              <w:jc w:val="both"/>
              <w:rPr>
                <w:rFonts w:cstheme="minorHAnsi"/>
                <w:sz w:val="20"/>
                <w:szCs w:val="20"/>
              </w:rPr>
            </w:pPr>
          </w:p>
        </w:tc>
      </w:tr>
      <w:tr w:rsidR="00DF128A" w:rsidRPr="00DF128A" w:rsidTr="008843BB">
        <w:trPr>
          <w:trHeight w:val="337"/>
        </w:trPr>
        <w:tc>
          <w:tcPr>
            <w:tcW w:w="3004" w:type="dxa"/>
            <w:vMerge w:val="restart"/>
            <w:tcBorders>
              <w:top w:val="single" w:sz="4" w:space="0" w:color="auto"/>
              <w:left w:val="single" w:sz="18" w:space="0" w:color="000000"/>
              <w:bottom w:val="single" w:sz="4" w:space="0" w:color="auto"/>
              <w:right w:val="double" w:sz="6" w:space="0" w:color="000000"/>
            </w:tcBorders>
            <w:shd w:val="clear" w:color="auto" w:fill="C0C0C0"/>
            <w:vAlign w:val="center"/>
          </w:tcPr>
          <w:p w:rsidR="00DF128A" w:rsidRPr="008843BB" w:rsidRDefault="00DF128A" w:rsidP="008843BB">
            <w:pPr>
              <w:widowControl w:val="0"/>
              <w:spacing w:line="276" w:lineRule="auto"/>
              <w:jc w:val="both"/>
              <w:rPr>
                <w:rFonts w:cstheme="minorHAnsi"/>
                <w:b/>
                <w:bCs/>
                <w:i/>
                <w:iCs/>
                <w:sz w:val="20"/>
                <w:szCs w:val="20"/>
              </w:rPr>
            </w:pPr>
            <w:r w:rsidRPr="008843BB">
              <w:rPr>
                <w:rFonts w:cstheme="minorHAnsi"/>
                <w:b/>
                <w:bCs/>
                <w:i/>
                <w:iCs/>
                <w:sz w:val="20"/>
                <w:szCs w:val="20"/>
                <w:lang w:val="en-GB"/>
              </w:rPr>
              <w:t xml:space="preserve">Dole Food Company Inc. </w:t>
            </w:r>
            <w:r w:rsidRPr="008843BB">
              <w:rPr>
                <w:rFonts w:cstheme="minorHAnsi"/>
                <w:i/>
                <w:iCs/>
                <w:sz w:val="20"/>
                <w:szCs w:val="20"/>
                <w:lang w:val="en-GB"/>
              </w:rPr>
              <w:t xml:space="preserve">                      (USA)</w:t>
            </w:r>
          </w:p>
        </w:tc>
        <w:tc>
          <w:tcPr>
            <w:tcW w:w="6208" w:type="dxa"/>
            <w:vMerge w:val="restart"/>
            <w:tcBorders>
              <w:top w:val="single" w:sz="4" w:space="0" w:color="auto"/>
              <w:left w:val="nil"/>
              <w:bottom w:val="single" w:sz="4" w:space="0" w:color="auto"/>
              <w:right w:val="single" w:sz="18" w:space="0" w:color="000000"/>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Kostarika, Honduras, Kamerun, Pobřeží slonoviny, Filippíny, Indonésie, Kolumbie, Ekvádor, Nikaragua, Venezuela, Jamaika, Somálsko, Kanárské ostrovy</w:t>
            </w:r>
          </w:p>
        </w:tc>
      </w:tr>
      <w:tr w:rsidR="00DF128A" w:rsidRPr="00DF128A" w:rsidTr="008843BB">
        <w:trPr>
          <w:trHeight w:val="337"/>
        </w:trPr>
        <w:tc>
          <w:tcPr>
            <w:tcW w:w="3004" w:type="dxa"/>
            <w:vMerge/>
            <w:tcBorders>
              <w:top w:val="single" w:sz="4" w:space="0" w:color="auto"/>
              <w:left w:val="single" w:sz="18" w:space="0" w:color="000000"/>
              <w:bottom w:val="single" w:sz="4" w:space="0" w:color="auto"/>
              <w:right w:val="double" w:sz="6" w:space="0" w:color="000000"/>
            </w:tcBorders>
            <w:shd w:val="clear" w:color="auto" w:fill="auto"/>
            <w:vAlign w:val="center"/>
          </w:tcPr>
          <w:p w:rsidR="00DF128A" w:rsidRPr="008843BB" w:rsidRDefault="00DF128A" w:rsidP="00DF128A">
            <w:pPr>
              <w:widowControl w:val="0"/>
              <w:spacing w:line="276" w:lineRule="auto"/>
              <w:ind w:firstLine="709"/>
              <w:jc w:val="both"/>
              <w:rPr>
                <w:rFonts w:cstheme="minorHAnsi"/>
                <w:b/>
                <w:bCs/>
                <w:i/>
                <w:iCs/>
                <w:sz w:val="20"/>
                <w:szCs w:val="20"/>
              </w:rPr>
            </w:pPr>
          </w:p>
        </w:tc>
        <w:tc>
          <w:tcPr>
            <w:tcW w:w="6208" w:type="dxa"/>
            <w:vMerge/>
            <w:tcBorders>
              <w:top w:val="single" w:sz="4" w:space="0" w:color="auto"/>
              <w:left w:val="nil"/>
              <w:bottom w:val="single" w:sz="4" w:space="0" w:color="auto"/>
              <w:right w:val="single" w:sz="18" w:space="0" w:color="000000"/>
            </w:tcBorders>
            <w:shd w:val="clear" w:color="auto" w:fill="auto"/>
            <w:vAlign w:val="center"/>
          </w:tcPr>
          <w:p w:rsidR="00DF128A" w:rsidRPr="008843BB" w:rsidRDefault="00DF128A" w:rsidP="00DF128A">
            <w:pPr>
              <w:widowControl w:val="0"/>
              <w:spacing w:line="276" w:lineRule="auto"/>
              <w:ind w:firstLine="709"/>
              <w:jc w:val="both"/>
              <w:rPr>
                <w:rFonts w:cstheme="minorHAnsi"/>
                <w:sz w:val="20"/>
                <w:szCs w:val="20"/>
              </w:rPr>
            </w:pPr>
          </w:p>
        </w:tc>
      </w:tr>
      <w:tr w:rsidR="00DF128A" w:rsidRPr="00DF128A" w:rsidTr="008843BB">
        <w:trPr>
          <w:trHeight w:val="337"/>
        </w:trPr>
        <w:tc>
          <w:tcPr>
            <w:tcW w:w="3004" w:type="dxa"/>
            <w:vMerge w:val="restart"/>
            <w:tcBorders>
              <w:top w:val="single" w:sz="4" w:space="0" w:color="auto"/>
              <w:left w:val="single" w:sz="18" w:space="0" w:color="000000"/>
              <w:bottom w:val="single" w:sz="4" w:space="0" w:color="auto"/>
              <w:right w:val="double" w:sz="6" w:space="0" w:color="000000"/>
            </w:tcBorders>
            <w:shd w:val="clear" w:color="auto" w:fill="C0C0C0"/>
            <w:vAlign w:val="center"/>
          </w:tcPr>
          <w:p w:rsidR="00DF128A" w:rsidRPr="008843BB" w:rsidRDefault="00DF128A" w:rsidP="008843BB">
            <w:pPr>
              <w:widowControl w:val="0"/>
              <w:spacing w:line="276" w:lineRule="auto"/>
              <w:jc w:val="both"/>
              <w:rPr>
                <w:rFonts w:cstheme="minorHAnsi"/>
                <w:b/>
                <w:bCs/>
                <w:i/>
                <w:iCs/>
                <w:sz w:val="20"/>
                <w:szCs w:val="20"/>
              </w:rPr>
            </w:pPr>
            <w:r w:rsidRPr="008843BB">
              <w:rPr>
                <w:rFonts w:cstheme="minorHAnsi"/>
                <w:b/>
                <w:bCs/>
                <w:i/>
                <w:iCs/>
                <w:sz w:val="20"/>
                <w:szCs w:val="20"/>
                <w:lang w:val="en-GB"/>
              </w:rPr>
              <w:t xml:space="preserve">Del Monte Fresh Product </w:t>
            </w:r>
            <w:r w:rsidRPr="008843BB">
              <w:rPr>
                <w:rFonts w:cstheme="minorHAnsi"/>
                <w:i/>
                <w:iCs/>
                <w:sz w:val="20"/>
                <w:szCs w:val="20"/>
                <w:lang w:val="en-GB"/>
              </w:rPr>
              <w:t xml:space="preserve">                  (USA, Chile, Mexiko)</w:t>
            </w:r>
          </w:p>
        </w:tc>
        <w:tc>
          <w:tcPr>
            <w:tcW w:w="6208" w:type="dxa"/>
            <w:vMerge w:val="restart"/>
            <w:tcBorders>
              <w:top w:val="single" w:sz="4" w:space="0" w:color="auto"/>
              <w:left w:val="nil"/>
              <w:bottom w:val="single" w:sz="4" w:space="0" w:color="auto"/>
              <w:right w:val="single" w:sz="18" w:space="0" w:color="000000"/>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Kostarika, Guatemala, Ekvádor, Panama, Brazílie, Mexiko, Kamerun, Filipíny, Costa Rica, Guatemala, Ekvádor, Panama, Pobřeží slonoviny, Jamajka</w:t>
            </w:r>
          </w:p>
        </w:tc>
      </w:tr>
      <w:tr w:rsidR="00DF128A" w:rsidRPr="00DF128A" w:rsidTr="008843BB">
        <w:trPr>
          <w:trHeight w:val="337"/>
        </w:trPr>
        <w:tc>
          <w:tcPr>
            <w:tcW w:w="3004" w:type="dxa"/>
            <w:vMerge/>
            <w:tcBorders>
              <w:top w:val="single" w:sz="4" w:space="0" w:color="auto"/>
              <w:left w:val="single" w:sz="18" w:space="0" w:color="000000"/>
              <w:bottom w:val="single" w:sz="4" w:space="0" w:color="auto"/>
              <w:right w:val="double" w:sz="6" w:space="0" w:color="000000"/>
            </w:tcBorders>
            <w:shd w:val="clear" w:color="auto" w:fill="auto"/>
            <w:vAlign w:val="center"/>
          </w:tcPr>
          <w:p w:rsidR="00DF128A" w:rsidRPr="008843BB" w:rsidRDefault="00DF128A" w:rsidP="00DF128A">
            <w:pPr>
              <w:widowControl w:val="0"/>
              <w:spacing w:line="276" w:lineRule="auto"/>
              <w:ind w:firstLine="709"/>
              <w:jc w:val="both"/>
              <w:rPr>
                <w:rFonts w:cstheme="minorHAnsi"/>
                <w:b/>
                <w:bCs/>
                <w:i/>
                <w:iCs/>
                <w:sz w:val="20"/>
                <w:szCs w:val="20"/>
              </w:rPr>
            </w:pPr>
          </w:p>
        </w:tc>
        <w:tc>
          <w:tcPr>
            <w:tcW w:w="6208" w:type="dxa"/>
            <w:vMerge/>
            <w:tcBorders>
              <w:top w:val="single" w:sz="4" w:space="0" w:color="auto"/>
              <w:left w:val="nil"/>
              <w:bottom w:val="single" w:sz="4" w:space="0" w:color="auto"/>
              <w:right w:val="single" w:sz="18" w:space="0" w:color="000000"/>
            </w:tcBorders>
            <w:shd w:val="clear" w:color="auto" w:fill="auto"/>
            <w:vAlign w:val="center"/>
          </w:tcPr>
          <w:p w:rsidR="00DF128A" w:rsidRPr="008843BB" w:rsidRDefault="00DF128A" w:rsidP="00DF128A">
            <w:pPr>
              <w:widowControl w:val="0"/>
              <w:spacing w:line="276" w:lineRule="auto"/>
              <w:ind w:firstLine="709"/>
              <w:jc w:val="both"/>
              <w:rPr>
                <w:rFonts w:cstheme="minorHAnsi"/>
                <w:sz w:val="20"/>
                <w:szCs w:val="20"/>
              </w:rPr>
            </w:pPr>
          </w:p>
        </w:tc>
      </w:tr>
      <w:tr w:rsidR="00DF128A" w:rsidRPr="00DF128A" w:rsidTr="008843BB">
        <w:trPr>
          <w:trHeight w:val="337"/>
        </w:trPr>
        <w:tc>
          <w:tcPr>
            <w:tcW w:w="3004" w:type="dxa"/>
            <w:vMerge w:val="restart"/>
            <w:tcBorders>
              <w:top w:val="single" w:sz="4" w:space="0" w:color="auto"/>
              <w:left w:val="single" w:sz="18" w:space="0" w:color="000000"/>
              <w:bottom w:val="single" w:sz="4" w:space="0" w:color="auto"/>
              <w:right w:val="double" w:sz="6" w:space="0" w:color="000000"/>
            </w:tcBorders>
            <w:shd w:val="clear" w:color="auto" w:fill="C0C0C0"/>
            <w:vAlign w:val="center"/>
          </w:tcPr>
          <w:p w:rsidR="00DF128A" w:rsidRPr="008843BB" w:rsidRDefault="00DF128A" w:rsidP="008843BB">
            <w:pPr>
              <w:widowControl w:val="0"/>
              <w:spacing w:line="276" w:lineRule="auto"/>
              <w:jc w:val="both"/>
              <w:rPr>
                <w:rFonts w:cstheme="minorHAnsi"/>
                <w:b/>
                <w:bCs/>
                <w:i/>
                <w:iCs/>
                <w:sz w:val="20"/>
                <w:szCs w:val="20"/>
              </w:rPr>
            </w:pPr>
            <w:r w:rsidRPr="008843BB">
              <w:rPr>
                <w:rFonts w:cstheme="minorHAnsi"/>
                <w:b/>
                <w:bCs/>
                <w:i/>
                <w:iCs/>
                <w:sz w:val="20"/>
                <w:szCs w:val="20"/>
                <w:lang w:val="en-GB"/>
              </w:rPr>
              <w:t xml:space="preserve">Fyffes </w:t>
            </w:r>
            <w:r w:rsidRPr="008843BB">
              <w:rPr>
                <w:rFonts w:cstheme="minorHAnsi"/>
                <w:i/>
                <w:iCs/>
                <w:sz w:val="20"/>
                <w:szCs w:val="20"/>
                <w:lang w:val="en-GB"/>
              </w:rPr>
              <w:t xml:space="preserve">                                                          (Irsko)</w:t>
            </w:r>
          </w:p>
        </w:tc>
        <w:tc>
          <w:tcPr>
            <w:tcW w:w="6208" w:type="dxa"/>
            <w:vMerge w:val="restart"/>
            <w:tcBorders>
              <w:top w:val="single" w:sz="4" w:space="0" w:color="auto"/>
              <w:left w:val="nil"/>
              <w:bottom w:val="single" w:sz="4" w:space="0" w:color="auto"/>
              <w:right w:val="single" w:sz="18" w:space="0" w:color="000000"/>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Belize, Dominikánská republika, Windward Islands, Kostarika, Honduras, Guatemala, Ekvádor, Kolumbie, Jamaika, Surinam, Kanárské ostrovy</w:t>
            </w:r>
          </w:p>
        </w:tc>
      </w:tr>
      <w:tr w:rsidR="00DF128A" w:rsidRPr="00DF128A" w:rsidTr="008843BB">
        <w:trPr>
          <w:trHeight w:val="337"/>
        </w:trPr>
        <w:tc>
          <w:tcPr>
            <w:tcW w:w="3004" w:type="dxa"/>
            <w:vMerge/>
            <w:tcBorders>
              <w:top w:val="single" w:sz="4" w:space="0" w:color="auto"/>
              <w:left w:val="single" w:sz="18" w:space="0" w:color="000000"/>
              <w:bottom w:val="single" w:sz="4" w:space="0" w:color="auto"/>
              <w:right w:val="double" w:sz="6" w:space="0" w:color="000000"/>
            </w:tcBorders>
            <w:shd w:val="clear" w:color="auto" w:fill="auto"/>
            <w:vAlign w:val="center"/>
          </w:tcPr>
          <w:p w:rsidR="00DF128A" w:rsidRPr="008843BB" w:rsidRDefault="00DF128A" w:rsidP="00DF128A">
            <w:pPr>
              <w:widowControl w:val="0"/>
              <w:spacing w:line="276" w:lineRule="auto"/>
              <w:ind w:firstLine="709"/>
              <w:jc w:val="both"/>
              <w:rPr>
                <w:rFonts w:cstheme="minorHAnsi"/>
                <w:b/>
                <w:bCs/>
                <w:i/>
                <w:iCs/>
                <w:sz w:val="20"/>
                <w:szCs w:val="20"/>
              </w:rPr>
            </w:pPr>
          </w:p>
        </w:tc>
        <w:tc>
          <w:tcPr>
            <w:tcW w:w="6208" w:type="dxa"/>
            <w:vMerge/>
            <w:tcBorders>
              <w:top w:val="single" w:sz="4" w:space="0" w:color="auto"/>
              <w:left w:val="nil"/>
              <w:bottom w:val="single" w:sz="4" w:space="0" w:color="auto"/>
              <w:right w:val="single" w:sz="18" w:space="0" w:color="000000"/>
            </w:tcBorders>
            <w:shd w:val="clear" w:color="auto" w:fill="auto"/>
            <w:vAlign w:val="center"/>
          </w:tcPr>
          <w:p w:rsidR="00DF128A" w:rsidRPr="008843BB" w:rsidRDefault="00DF128A" w:rsidP="00DF128A">
            <w:pPr>
              <w:widowControl w:val="0"/>
              <w:spacing w:line="276" w:lineRule="auto"/>
              <w:ind w:firstLine="709"/>
              <w:jc w:val="both"/>
              <w:rPr>
                <w:rFonts w:cstheme="minorHAnsi"/>
                <w:sz w:val="20"/>
                <w:szCs w:val="20"/>
              </w:rPr>
            </w:pPr>
          </w:p>
        </w:tc>
      </w:tr>
      <w:tr w:rsidR="00DF128A" w:rsidRPr="00DF128A" w:rsidTr="008843BB">
        <w:trPr>
          <w:trHeight w:val="337"/>
        </w:trPr>
        <w:tc>
          <w:tcPr>
            <w:tcW w:w="3004" w:type="dxa"/>
            <w:vMerge w:val="restart"/>
            <w:tcBorders>
              <w:top w:val="single" w:sz="4" w:space="0" w:color="auto"/>
              <w:left w:val="single" w:sz="18" w:space="0" w:color="000000"/>
              <w:bottom w:val="single" w:sz="4" w:space="0" w:color="auto"/>
              <w:right w:val="double" w:sz="6" w:space="0" w:color="000000"/>
            </w:tcBorders>
            <w:shd w:val="clear" w:color="auto" w:fill="C0C0C0"/>
            <w:vAlign w:val="center"/>
          </w:tcPr>
          <w:p w:rsidR="00DF128A" w:rsidRPr="008843BB" w:rsidRDefault="00DF128A" w:rsidP="008843BB">
            <w:pPr>
              <w:widowControl w:val="0"/>
              <w:spacing w:line="276" w:lineRule="auto"/>
              <w:jc w:val="both"/>
              <w:rPr>
                <w:rFonts w:cstheme="minorHAnsi"/>
                <w:b/>
                <w:bCs/>
                <w:i/>
                <w:iCs/>
                <w:sz w:val="20"/>
                <w:szCs w:val="20"/>
              </w:rPr>
            </w:pPr>
            <w:r w:rsidRPr="008843BB">
              <w:rPr>
                <w:rFonts w:cstheme="minorHAnsi"/>
                <w:b/>
                <w:bCs/>
                <w:i/>
                <w:iCs/>
                <w:sz w:val="20"/>
                <w:szCs w:val="20"/>
                <w:lang w:val="en-GB"/>
              </w:rPr>
              <w:t xml:space="preserve">Pomona  </w:t>
            </w:r>
            <w:r w:rsidRPr="008843BB">
              <w:rPr>
                <w:rFonts w:cstheme="minorHAnsi"/>
                <w:i/>
                <w:iCs/>
                <w:sz w:val="20"/>
                <w:szCs w:val="20"/>
                <w:lang w:val="en-GB"/>
              </w:rPr>
              <w:t xml:space="preserve">                                                     (Francie)</w:t>
            </w:r>
          </w:p>
        </w:tc>
        <w:tc>
          <w:tcPr>
            <w:tcW w:w="6208" w:type="dxa"/>
            <w:vMerge w:val="restart"/>
            <w:tcBorders>
              <w:top w:val="single" w:sz="4" w:space="0" w:color="auto"/>
              <w:left w:val="nil"/>
              <w:bottom w:val="single" w:sz="4" w:space="0" w:color="auto"/>
              <w:right w:val="single" w:sz="18" w:space="0" w:color="000000"/>
            </w:tcBorders>
            <w:shd w:val="clear" w:color="auto" w:fill="auto"/>
            <w:vAlign w:val="center"/>
          </w:tcPr>
          <w:p w:rsidR="00DF128A" w:rsidRPr="008843BB" w:rsidRDefault="00DF128A" w:rsidP="008843BB">
            <w:pPr>
              <w:widowControl w:val="0"/>
              <w:spacing w:line="276" w:lineRule="auto"/>
              <w:jc w:val="both"/>
              <w:rPr>
                <w:rFonts w:cstheme="minorHAnsi"/>
                <w:sz w:val="20"/>
                <w:szCs w:val="20"/>
              </w:rPr>
            </w:pPr>
            <w:r w:rsidRPr="008843BB">
              <w:rPr>
                <w:rFonts w:cstheme="minorHAnsi"/>
                <w:sz w:val="20"/>
                <w:szCs w:val="20"/>
              </w:rPr>
              <w:t>Pobřeží slonoviny, Martinique, Guadeloup, Ekvádor, Kolumbie, Kostrarika</w:t>
            </w:r>
          </w:p>
        </w:tc>
      </w:tr>
      <w:tr w:rsidR="00DF128A" w:rsidRPr="00DF128A" w:rsidTr="008843BB">
        <w:trPr>
          <w:trHeight w:val="337"/>
        </w:trPr>
        <w:tc>
          <w:tcPr>
            <w:tcW w:w="3004" w:type="dxa"/>
            <w:vMerge/>
            <w:tcBorders>
              <w:top w:val="single" w:sz="4" w:space="0" w:color="auto"/>
              <w:left w:val="single" w:sz="18" w:space="0" w:color="000000"/>
              <w:bottom w:val="single" w:sz="12" w:space="0" w:color="000000"/>
              <w:right w:val="double" w:sz="6" w:space="0" w:color="000000"/>
            </w:tcBorders>
            <w:shd w:val="clear" w:color="auto" w:fill="auto"/>
            <w:vAlign w:val="center"/>
          </w:tcPr>
          <w:p w:rsidR="00DF128A" w:rsidRPr="008843BB" w:rsidRDefault="00DF128A" w:rsidP="00DF128A">
            <w:pPr>
              <w:widowControl w:val="0"/>
              <w:spacing w:line="276" w:lineRule="auto"/>
              <w:ind w:firstLine="709"/>
              <w:jc w:val="both"/>
              <w:rPr>
                <w:rFonts w:cstheme="minorHAnsi"/>
                <w:b/>
                <w:bCs/>
                <w:i/>
                <w:iCs/>
                <w:sz w:val="20"/>
                <w:szCs w:val="20"/>
              </w:rPr>
            </w:pPr>
          </w:p>
        </w:tc>
        <w:tc>
          <w:tcPr>
            <w:tcW w:w="6208" w:type="dxa"/>
            <w:vMerge/>
            <w:tcBorders>
              <w:top w:val="single" w:sz="4" w:space="0" w:color="auto"/>
              <w:left w:val="nil"/>
              <w:bottom w:val="single" w:sz="12" w:space="0" w:color="000000"/>
              <w:right w:val="single" w:sz="18" w:space="0" w:color="000000"/>
            </w:tcBorders>
            <w:shd w:val="clear" w:color="auto" w:fill="auto"/>
            <w:vAlign w:val="center"/>
          </w:tcPr>
          <w:p w:rsidR="00DF128A" w:rsidRPr="008843BB" w:rsidRDefault="00DF128A" w:rsidP="00DF128A">
            <w:pPr>
              <w:widowControl w:val="0"/>
              <w:spacing w:line="276" w:lineRule="auto"/>
              <w:ind w:firstLine="709"/>
              <w:jc w:val="both"/>
              <w:rPr>
                <w:rFonts w:cstheme="minorHAnsi"/>
                <w:sz w:val="20"/>
                <w:szCs w:val="20"/>
              </w:rPr>
            </w:pPr>
          </w:p>
        </w:tc>
      </w:tr>
      <w:tr w:rsidR="00DF128A" w:rsidRPr="00DF128A" w:rsidTr="008843BB">
        <w:trPr>
          <w:trHeight w:val="270"/>
        </w:trPr>
        <w:tc>
          <w:tcPr>
            <w:tcW w:w="3004" w:type="dxa"/>
            <w:tcBorders>
              <w:top w:val="single" w:sz="12" w:space="0" w:color="000000"/>
              <w:left w:val="single" w:sz="18" w:space="0" w:color="000000"/>
              <w:bottom w:val="double" w:sz="6" w:space="0" w:color="auto"/>
              <w:right w:val="double" w:sz="6" w:space="0" w:color="000000"/>
            </w:tcBorders>
            <w:shd w:val="clear" w:color="auto" w:fill="969696"/>
            <w:vAlign w:val="center"/>
          </w:tcPr>
          <w:p w:rsidR="00DF128A" w:rsidRPr="008843BB" w:rsidRDefault="00DF128A" w:rsidP="00DF128A">
            <w:pPr>
              <w:widowControl w:val="0"/>
              <w:spacing w:line="276" w:lineRule="auto"/>
              <w:ind w:firstLine="709"/>
              <w:jc w:val="both"/>
              <w:rPr>
                <w:rFonts w:cstheme="minorHAnsi"/>
                <w:b/>
                <w:bCs/>
                <w:sz w:val="20"/>
                <w:szCs w:val="20"/>
              </w:rPr>
            </w:pPr>
            <w:r w:rsidRPr="008843BB">
              <w:rPr>
                <w:rFonts w:cstheme="minorHAnsi"/>
                <w:b/>
                <w:bCs/>
                <w:sz w:val="20"/>
                <w:szCs w:val="20"/>
              </w:rPr>
              <w:t>Národní společnosti</w:t>
            </w:r>
          </w:p>
        </w:tc>
        <w:tc>
          <w:tcPr>
            <w:tcW w:w="6208" w:type="dxa"/>
            <w:tcBorders>
              <w:top w:val="single" w:sz="12" w:space="0" w:color="000000"/>
              <w:left w:val="nil"/>
              <w:bottom w:val="double" w:sz="6" w:space="0" w:color="auto"/>
              <w:right w:val="single" w:sz="18" w:space="0" w:color="000000"/>
            </w:tcBorders>
            <w:shd w:val="clear" w:color="auto" w:fill="969696"/>
            <w:vAlign w:val="center"/>
          </w:tcPr>
          <w:p w:rsidR="00DF128A" w:rsidRPr="008843BB" w:rsidRDefault="00DF128A" w:rsidP="00DF128A">
            <w:pPr>
              <w:widowControl w:val="0"/>
              <w:spacing w:line="276" w:lineRule="auto"/>
              <w:ind w:firstLine="709"/>
              <w:jc w:val="both"/>
              <w:rPr>
                <w:rFonts w:cstheme="minorHAnsi"/>
                <w:b/>
                <w:bCs/>
                <w:sz w:val="20"/>
                <w:szCs w:val="20"/>
              </w:rPr>
            </w:pPr>
            <w:r w:rsidRPr="008843BB">
              <w:rPr>
                <w:rFonts w:cstheme="minorHAnsi"/>
                <w:b/>
                <w:bCs/>
                <w:sz w:val="20"/>
                <w:szCs w:val="20"/>
              </w:rPr>
              <w:t>Produkce</w:t>
            </w:r>
          </w:p>
        </w:tc>
      </w:tr>
      <w:tr w:rsidR="00DF128A" w:rsidRPr="00DF128A" w:rsidTr="008843BB">
        <w:trPr>
          <w:trHeight w:val="270"/>
        </w:trPr>
        <w:tc>
          <w:tcPr>
            <w:tcW w:w="3004" w:type="dxa"/>
            <w:tcBorders>
              <w:top w:val="nil"/>
              <w:left w:val="single" w:sz="18" w:space="0" w:color="000000"/>
              <w:bottom w:val="single" w:sz="4" w:space="0" w:color="auto"/>
              <w:right w:val="double" w:sz="6" w:space="0" w:color="000000"/>
            </w:tcBorders>
            <w:shd w:val="clear" w:color="auto" w:fill="C0C0C0"/>
            <w:vAlign w:val="center"/>
          </w:tcPr>
          <w:p w:rsidR="00DF128A" w:rsidRPr="008843BB" w:rsidRDefault="00DF128A" w:rsidP="008843BB">
            <w:pPr>
              <w:widowControl w:val="0"/>
              <w:spacing w:line="276" w:lineRule="auto"/>
              <w:jc w:val="both"/>
              <w:rPr>
                <w:rFonts w:cstheme="minorHAnsi"/>
                <w:b/>
                <w:bCs/>
                <w:i/>
                <w:iCs/>
                <w:sz w:val="20"/>
                <w:szCs w:val="20"/>
              </w:rPr>
            </w:pPr>
            <w:r w:rsidRPr="008843BB">
              <w:rPr>
                <w:rFonts w:cstheme="minorHAnsi"/>
                <w:b/>
                <w:bCs/>
                <w:i/>
                <w:iCs/>
                <w:sz w:val="20"/>
                <w:szCs w:val="20"/>
                <w:lang w:val="en-GB"/>
              </w:rPr>
              <w:t>Noboa</w:t>
            </w:r>
            <w:r w:rsidRPr="008843BB">
              <w:rPr>
                <w:rFonts w:cstheme="minorHAnsi"/>
                <w:i/>
                <w:iCs/>
                <w:sz w:val="20"/>
                <w:szCs w:val="20"/>
                <w:lang w:val="en-GB"/>
              </w:rPr>
              <w:t xml:space="preserve"> (Ecuador)</w:t>
            </w:r>
          </w:p>
        </w:tc>
        <w:tc>
          <w:tcPr>
            <w:tcW w:w="6208" w:type="dxa"/>
            <w:tcBorders>
              <w:top w:val="double" w:sz="6" w:space="0" w:color="auto"/>
              <w:left w:val="nil"/>
              <w:bottom w:val="single" w:sz="4" w:space="0" w:color="auto"/>
              <w:right w:val="single" w:sz="18" w:space="0" w:color="000000"/>
            </w:tcBorders>
            <w:shd w:val="clear" w:color="auto" w:fill="auto"/>
            <w:vAlign w:val="center"/>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Ekvádor</w:t>
            </w:r>
          </w:p>
        </w:tc>
      </w:tr>
      <w:tr w:rsidR="00DF128A" w:rsidRPr="00DF128A" w:rsidTr="008843BB">
        <w:trPr>
          <w:trHeight w:val="255"/>
        </w:trPr>
        <w:tc>
          <w:tcPr>
            <w:tcW w:w="3004" w:type="dxa"/>
            <w:tcBorders>
              <w:top w:val="single" w:sz="4" w:space="0" w:color="auto"/>
              <w:left w:val="single" w:sz="18" w:space="0" w:color="000000"/>
              <w:bottom w:val="single" w:sz="4" w:space="0" w:color="auto"/>
              <w:right w:val="double" w:sz="6" w:space="0" w:color="000000"/>
            </w:tcBorders>
            <w:shd w:val="clear" w:color="auto" w:fill="C0C0C0"/>
            <w:vAlign w:val="center"/>
          </w:tcPr>
          <w:p w:rsidR="00DF128A" w:rsidRPr="008843BB" w:rsidRDefault="00DF128A" w:rsidP="008843BB">
            <w:pPr>
              <w:widowControl w:val="0"/>
              <w:spacing w:line="276" w:lineRule="auto"/>
              <w:jc w:val="both"/>
              <w:rPr>
                <w:rFonts w:cstheme="minorHAnsi"/>
                <w:b/>
                <w:bCs/>
                <w:i/>
                <w:iCs/>
                <w:sz w:val="20"/>
                <w:szCs w:val="20"/>
              </w:rPr>
            </w:pPr>
            <w:r w:rsidRPr="008843BB">
              <w:rPr>
                <w:rFonts w:cstheme="minorHAnsi"/>
                <w:b/>
                <w:bCs/>
                <w:i/>
                <w:iCs/>
                <w:sz w:val="20"/>
                <w:szCs w:val="20"/>
                <w:lang w:val="en-GB"/>
              </w:rPr>
              <w:t>Uniban, Banacol</w:t>
            </w:r>
            <w:r w:rsidRPr="008843BB">
              <w:rPr>
                <w:rFonts w:cstheme="minorHAnsi"/>
                <w:i/>
                <w:iCs/>
                <w:sz w:val="20"/>
                <w:szCs w:val="20"/>
                <w:lang w:val="en-GB"/>
              </w:rPr>
              <w:t xml:space="preserve"> (Colombia)</w:t>
            </w:r>
          </w:p>
        </w:tc>
        <w:tc>
          <w:tcPr>
            <w:tcW w:w="6208" w:type="dxa"/>
            <w:tcBorders>
              <w:top w:val="single" w:sz="4" w:space="0" w:color="auto"/>
              <w:left w:val="nil"/>
              <w:bottom w:val="single" w:sz="4" w:space="0" w:color="auto"/>
              <w:right w:val="single" w:sz="18" w:space="0" w:color="000000"/>
            </w:tcBorders>
            <w:shd w:val="clear" w:color="auto" w:fill="auto"/>
            <w:vAlign w:val="center"/>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Kolumbie</w:t>
            </w:r>
          </w:p>
        </w:tc>
      </w:tr>
      <w:tr w:rsidR="00DF128A" w:rsidRPr="00DF128A" w:rsidTr="008843BB">
        <w:trPr>
          <w:trHeight w:val="255"/>
        </w:trPr>
        <w:tc>
          <w:tcPr>
            <w:tcW w:w="3004" w:type="dxa"/>
            <w:tcBorders>
              <w:top w:val="single" w:sz="4" w:space="0" w:color="auto"/>
              <w:left w:val="single" w:sz="18" w:space="0" w:color="000000"/>
              <w:bottom w:val="single" w:sz="4" w:space="0" w:color="auto"/>
              <w:right w:val="double" w:sz="6" w:space="0" w:color="000000"/>
            </w:tcBorders>
            <w:shd w:val="clear" w:color="auto" w:fill="C0C0C0"/>
            <w:vAlign w:val="center"/>
          </w:tcPr>
          <w:p w:rsidR="00DF128A" w:rsidRPr="008843BB" w:rsidRDefault="00DF128A" w:rsidP="008843BB">
            <w:pPr>
              <w:widowControl w:val="0"/>
              <w:spacing w:line="276" w:lineRule="auto"/>
              <w:jc w:val="both"/>
              <w:rPr>
                <w:rFonts w:cstheme="minorHAnsi"/>
                <w:b/>
                <w:bCs/>
                <w:i/>
                <w:iCs/>
                <w:sz w:val="20"/>
                <w:szCs w:val="20"/>
              </w:rPr>
            </w:pPr>
            <w:r w:rsidRPr="008843BB">
              <w:rPr>
                <w:rFonts w:cstheme="minorHAnsi"/>
                <w:b/>
                <w:bCs/>
                <w:i/>
                <w:iCs/>
                <w:sz w:val="20"/>
                <w:szCs w:val="20"/>
                <w:lang w:val="en-GB"/>
              </w:rPr>
              <w:t>Corbana</w:t>
            </w:r>
            <w:r w:rsidRPr="008843BB">
              <w:rPr>
                <w:rFonts w:cstheme="minorHAnsi"/>
                <w:i/>
                <w:iCs/>
                <w:sz w:val="20"/>
                <w:szCs w:val="20"/>
                <w:lang w:val="en-GB"/>
              </w:rPr>
              <w:t xml:space="preserve"> (Costa Rica)</w:t>
            </w:r>
          </w:p>
        </w:tc>
        <w:tc>
          <w:tcPr>
            <w:tcW w:w="6208" w:type="dxa"/>
            <w:tcBorders>
              <w:top w:val="single" w:sz="4" w:space="0" w:color="auto"/>
              <w:left w:val="nil"/>
              <w:bottom w:val="single" w:sz="4" w:space="0" w:color="auto"/>
              <w:right w:val="single" w:sz="18" w:space="0" w:color="000000"/>
            </w:tcBorders>
            <w:shd w:val="clear" w:color="auto" w:fill="auto"/>
            <w:vAlign w:val="center"/>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Kostarika</w:t>
            </w:r>
          </w:p>
        </w:tc>
      </w:tr>
      <w:tr w:rsidR="00DF128A" w:rsidRPr="00DF128A" w:rsidTr="008843BB">
        <w:trPr>
          <w:trHeight w:val="255"/>
        </w:trPr>
        <w:tc>
          <w:tcPr>
            <w:tcW w:w="3004" w:type="dxa"/>
            <w:tcBorders>
              <w:top w:val="single" w:sz="4" w:space="0" w:color="auto"/>
              <w:left w:val="single" w:sz="18" w:space="0" w:color="000000"/>
              <w:bottom w:val="single" w:sz="4" w:space="0" w:color="auto"/>
              <w:right w:val="double" w:sz="6" w:space="0" w:color="000000"/>
            </w:tcBorders>
            <w:shd w:val="clear" w:color="auto" w:fill="C0C0C0"/>
            <w:vAlign w:val="center"/>
          </w:tcPr>
          <w:p w:rsidR="00DF128A" w:rsidRPr="008843BB" w:rsidRDefault="00DF128A" w:rsidP="008843BB">
            <w:pPr>
              <w:widowControl w:val="0"/>
              <w:spacing w:line="276" w:lineRule="auto"/>
              <w:jc w:val="both"/>
              <w:rPr>
                <w:rFonts w:cstheme="minorHAnsi"/>
                <w:b/>
                <w:bCs/>
                <w:i/>
                <w:iCs/>
                <w:sz w:val="20"/>
                <w:szCs w:val="20"/>
              </w:rPr>
            </w:pPr>
            <w:r w:rsidRPr="008843BB">
              <w:rPr>
                <w:rFonts w:cstheme="minorHAnsi"/>
                <w:b/>
                <w:bCs/>
                <w:i/>
                <w:iCs/>
                <w:sz w:val="20"/>
                <w:szCs w:val="20"/>
                <w:lang w:val="en-GB"/>
              </w:rPr>
              <w:t>JAMCO</w:t>
            </w:r>
            <w:r w:rsidRPr="008843BB">
              <w:rPr>
                <w:rFonts w:cstheme="minorHAnsi"/>
                <w:i/>
                <w:iCs/>
                <w:sz w:val="20"/>
                <w:szCs w:val="20"/>
                <w:lang w:val="en-GB"/>
              </w:rPr>
              <w:t>/Jamaican</w:t>
            </w:r>
            <w:r w:rsidR="008843BB">
              <w:rPr>
                <w:rFonts w:cstheme="minorHAnsi"/>
                <w:i/>
                <w:iCs/>
                <w:sz w:val="20"/>
                <w:szCs w:val="20"/>
                <w:lang w:val="en-GB"/>
              </w:rPr>
              <w:t xml:space="preserve"> </w:t>
            </w:r>
            <w:r w:rsidRPr="008843BB">
              <w:rPr>
                <w:rFonts w:cstheme="minorHAnsi"/>
                <w:i/>
                <w:iCs/>
                <w:sz w:val="20"/>
                <w:szCs w:val="20"/>
                <w:lang w:val="en-GB"/>
              </w:rPr>
              <w:t>Producers (Jamaica/UK)</w:t>
            </w:r>
          </w:p>
        </w:tc>
        <w:tc>
          <w:tcPr>
            <w:tcW w:w="6208" w:type="dxa"/>
            <w:tcBorders>
              <w:top w:val="single" w:sz="4" w:space="0" w:color="auto"/>
              <w:left w:val="nil"/>
              <w:bottom w:val="single" w:sz="4" w:space="0" w:color="auto"/>
              <w:right w:val="single" w:sz="18" w:space="0" w:color="000000"/>
            </w:tcBorders>
            <w:shd w:val="clear" w:color="auto" w:fill="auto"/>
            <w:vAlign w:val="center"/>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Jamajka</w:t>
            </w:r>
          </w:p>
        </w:tc>
      </w:tr>
      <w:tr w:rsidR="00DF128A" w:rsidRPr="00DF128A" w:rsidTr="008843BB">
        <w:trPr>
          <w:trHeight w:val="255"/>
        </w:trPr>
        <w:tc>
          <w:tcPr>
            <w:tcW w:w="3004" w:type="dxa"/>
            <w:tcBorders>
              <w:top w:val="single" w:sz="4" w:space="0" w:color="auto"/>
              <w:left w:val="single" w:sz="18" w:space="0" w:color="000000"/>
              <w:bottom w:val="single" w:sz="4" w:space="0" w:color="auto"/>
              <w:right w:val="double" w:sz="6" w:space="0" w:color="000000"/>
            </w:tcBorders>
            <w:shd w:val="clear" w:color="auto" w:fill="C0C0C0"/>
            <w:vAlign w:val="center"/>
          </w:tcPr>
          <w:p w:rsidR="00DF128A" w:rsidRPr="008843BB" w:rsidRDefault="00DF128A" w:rsidP="008843BB">
            <w:pPr>
              <w:widowControl w:val="0"/>
              <w:spacing w:line="276" w:lineRule="auto"/>
              <w:jc w:val="both"/>
              <w:rPr>
                <w:rFonts w:cstheme="minorHAnsi"/>
                <w:b/>
                <w:bCs/>
                <w:i/>
                <w:iCs/>
                <w:sz w:val="20"/>
                <w:szCs w:val="20"/>
              </w:rPr>
            </w:pPr>
            <w:r w:rsidRPr="008843BB">
              <w:rPr>
                <w:rFonts w:cstheme="minorHAnsi"/>
                <w:b/>
                <w:bCs/>
                <w:i/>
                <w:iCs/>
                <w:sz w:val="20"/>
                <w:szCs w:val="20"/>
                <w:lang w:val="en-GB"/>
              </w:rPr>
              <w:t>WIBDECO</w:t>
            </w:r>
            <w:r w:rsidRPr="008843BB">
              <w:rPr>
                <w:rFonts w:cstheme="minorHAnsi"/>
                <w:i/>
                <w:iCs/>
                <w:sz w:val="20"/>
                <w:szCs w:val="20"/>
                <w:lang w:val="en-GB"/>
              </w:rPr>
              <w:t xml:space="preserve"> (Windward Islands/UK)</w:t>
            </w:r>
          </w:p>
        </w:tc>
        <w:tc>
          <w:tcPr>
            <w:tcW w:w="6208" w:type="dxa"/>
            <w:tcBorders>
              <w:top w:val="single" w:sz="4" w:space="0" w:color="auto"/>
              <w:left w:val="nil"/>
              <w:bottom w:val="single" w:sz="4" w:space="0" w:color="auto"/>
              <w:right w:val="single" w:sz="18" w:space="0" w:color="000000"/>
            </w:tcBorders>
            <w:shd w:val="clear" w:color="auto" w:fill="auto"/>
            <w:vAlign w:val="center"/>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Windward Islands (Velká Británie)</w:t>
            </w:r>
          </w:p>
        </w:tc>
      </w:tr>
      <w:tr w:rsidR="00DF128A" w:rsidRPr="00DF128A" w:rsidTr="008843BB">
        <w:trPr>
          <w:trHeight w:val="270"/>
        </w:trPr>
        <w:tc>
          <w:tcPr>
            <w:tcW w:w="3004" w:type="dxa"/>
            <w:tcBorders>
              <w:top w:val="single" w:sz="4" w:space="0" w:color="auto"/>
              <w:left w:val="single" w:sz="18" w:space="0" w:color="000000"/>
              <w:bottom w:val="single" w:sz="18" w:space="0" w:color="000000"/>
              <w:right w:val="double" w:sz="6" w:space="0" w:color="000000"/>
            </w:tcBorders>
            <w:shd w:val="clear" w:color="auto" w:fill="C0C0C0"/>
            <w:vAlign w:val="center"/>
          </w:tcPr>
          <w:p w:rsidR="00DF128A" w:rsidRPr="008843BB" w:rsidRDefault="00DF128A" w:rsidP="008843BB">
            <w:pPr>
              <w:widowControl w:val="0"/>
              <w:spacing w:line="276" w:lineRule="auto"/>
              <w:jc w:val="both"/>
              <w:rPr>
                <w:rFonts w:cstheme="minorHAnsi"/>
                <w:b/>
                <w:bCs/>
                <w:i/>
                <w:iCs/>
                <w:sz w:val="20"/>
                <w:szCs w:val="20"/>
              </w:rPr>
            </w:pPr>
            <w:r w:rsidRPr="008843BB">
              <w:rPr>
                <w:rFonts w:cstheme="minorHAnsi"/>
                <w:b/>
                <w:bCs/>
                <w:i/>
                <w:iCs/>
                <w:sz w:val="20"/>
                <w:szCs w:val="20"/>
                <w:lang w:val="en-GB"/>
              </w:rPr>
              <w:t>Bananic</w:t>
            </w:r>
            <w:r w:rsidRPr="008843BB">
              <w:rPr>
                <w:rFonts w:cstheme="minorHAnsi"/>
                <w:i/>
                <w:iCs/>
                <w:sz w:val="20"/>
                <w:szCs w:val="20"/>
                <w:lang w:val="en-GB"/>
              </w:rPr>
              <w:t xml:space="preserve"> (Nicaragua/Belgium)</w:t>
            </w:r>
          </w:p>
        </w:tc>
        <w:tc>
          <w:tcPr>
            <w:tcW w:w="6208" w:type="dxa"/>
            <w:tcBorders>
              <w:top w:val="single" w:sz="4" w:space="0" w:color="auto"/>
              <w:left w:val="nil"/>
              <w:bottom w:val="single" w:sz="18" w:space="0" w:color="000000"/>
              <w:right w:val="single" w:sz="18" w:space="0" w:color="000000"/>
            </w:tcBorders>
            <w:shd w:val="clear" w:color="auto" w:fill="auto"/>
            <w:vAlign w:val="center"/>
          </w:tcPr>
          <w:p w:rsidR="00DF128A" w:rsidRPr="008843BB" w:rsidRDefault="00DF128A" w:rsidP="00DF128A">
            <w:pPr>
              <w:widowControl w:val="0"/>
              <w:spacing w:line="276" w:lineRule="auto"/>
              <w:ind w:firstLine="709"/>
              <w:jc w:val="both"/>
              <w:rPr>
                <w:rFonts w:cstheme="minorHAnsi"/>
                <w:sz w:val="20"/>
                <w:szCs w:val="20"/>
              </w:rPr>
            </w:pPr>
            <w:r w:rsidRPr="008843BB">
              <w:rPr>
                <w:rFonts w:cstheme="minorHAnsi"/>
                <w:sz w:val="20"/>
                <w:szCs w:val="20"/>
              </w:rPr>
              <w:t>Nikaragua</w:t>
            </w:r>
          </w:p>
        </w:tc>
      </w:tr>
    </w:tbl>
    <w:p w:rsidR="00DF128A" w:rsidRPr="008843BB" w:rsidRDefault="008843BB" w:rsidP="008843BB">
      <w:pPr>
        <w:widowControl w:val="0"/>
        <w:spacing w:line="276" w:lineRule="auto"/>
        <w:jc w:val="both"/>
        <w:rPr>
          <w:rFonts w:ascii="Times New Roman" w:hAnsi="Times New Roman" w:cs="Times New Roman"/>
          <w:sz w:val="24"/>
          <w:szCs w:val="24"/>
        </w:rPr>
      </w:pPr>
      <w:r>
        <w:rPr>
          <w:rFonts w:ascii="Times New Roman" w:hAnsi="Times New Roman" w:cs="Times New Roman"/>
          <w:sz w:val="24"/>
          <w:szCs w:val="24"/>
        </w:rPr>
        <w:t>Zdroj: EFTA 2000</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128A" w:rsidP="008843BB">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D</w:t>
      </w:r>
      <w:r w:rsidR="00E20A69">
        <w:rPr>
          <w:rFonts w:ascii="Times New Roman" w:hAnsi="Times New Roman" w:cs="Times New Roman"/>
          <w:b/>
          <w:sz w:val="24"/>
          <w:szCs w:val="24"/>
        </w:rPr>
        <w:t>opady</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color w:val="000000"/>
          <w:sz w:val="24"/>
          <w:szCs w:val="24"/>
        </w:rPr>
      </w:pPr>
      <w:r w:rsidRPr="00DF128A">
        <w:rPr>
          <w:rFonts w:ascii="Times New Roman" w:hAnsi="Times New Roman" w:cs="Times New Roman"/>
          <w:color w:val="000000"/>
          <w:sz w:val="24"/>
          <w:szCs w:val="24"/>
        </w:rPr>
        <w:t xml:space="preserve">Banány symbolizují široký okruh bezpráví, který je přítomný v dnešním mezinárodním obchodu. Zahrnuje nepřijatelné pracovní a životní podmínky, pro ty, jenž se starají o vypěstování a sklizeň banánů, potlačení nezávislých odborů, devastaci přírodního prostředí používáním toxických chemikálií a intenzivní zemědělskou činnost, nepřiměřená hospodářská a politická síla několika málo nadnárodních společností, které dodávají banány na trhy Severu. Právě těmito důsledky banánového obchodu se budu zabývat v této kapitole. </w:t>
      </w:r>
    </w:p>
    <w:p w:rsid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ab/>
      </w:r>
    </w:p>
    <w:p w:rsidR="00E20A69" w:rsidRPr="00DF128A" w:rsidRDefault="00E20A69"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8843BB">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lastRenderedPageBreak/>
        <w:t>Dopady na životní prostředí</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Na světě existuje více než 300 druhů banánů, ale nejvíce rozšířený je jen jeden druh    'Cavendish'. Nedostatek genetické variability dělá banánovníky Cavendish více náchylné ke škodlivému hmyzu, houbám a onemocněním než jiné druhy banánů. Produkce banánů je koncentrována v místech s vlhkým a teplým tropickým klimatem, jenž vytváří ideální podmínky pro vznik hub a infekcí na banánech. (T</w:t>
      </w:r>
      <w:r w:rsidR="00BC5C10">
        <w:rPr>
          <w:rFonts w:ascii="Times New Roman" w:hAnsi="Times New Roman" w:cs="Times New Roman"/>
          <w:sz w:val="24"/>
          <w:szCs w:val="24"/>
        </w:rPr>
        <w:t xml:space="preserve">rav, Buddy </w:t>
      </w:r>
      <w:r w:rsidRPr="00DF128A">
        <w:rPr>
          <w:rFonts w:ascii="Times New Roman" w:hAnsi="Times New Roman" w:cs="Times New Roman"/>
          <w:sz w:val="24"/>
          <w:szCs w:val="24"/>
        </w:rPr>
        <w:t>2006)</w:t>
      </w:r>
    </w:p>
    <w:p w:rsidR="00DF128A" w:rsidRPr="00DF128A" w:rsidRDefault="00DF128A" w:rsidP="00DF128A">
      <w:pPr>
        <w:widowControl w:val="0"/>
        <w:spacing w:line="276" w:lineRule="auto"/>
        <w:ind w:firstLine="709"/>
        <w:jc w:val="both"/>
        <w:rPr>
          <w:rFonts w:ascii="Times New Roman" w:hAnsi="Times New Roman" w:cs="Times New Roman"/>
          <w:color w:val="000000"/>
          <w:sz w:val="24"/>
          <w:szCs w:val="24"/>
        </w:rPr>
      </w:pPr>
      <w:r w:rsidRPr="00DF128A">
        <w:rPr>
          <w:rFonts w:ascii="Times New Roman" w:hAnsi="Times New Roman" w:cs="Times New Roman"/>
          <w:sz w:val="24"/>
          <w:szCs w:val="24"/>
        </w:rPr>
        <w:t xml:space="preserve">Největší škody způsobují pesticidy (ty se používají jako opatření proti škůdcům). Jedná se o nejefektivnější způsob jak maximalizovat sklizeň, aniž by došlo k úbytku produkce působením škůdců. Problém je v tom, že chemický postřik ničí nejen škůdce, ale i užitečný (prospěšný) hmyz. </w:t>
      </w:r>
      <w:r w:rsidRPr="00DF128A">
        <w:rPr>
          <w:rFonts w:ascii="Times New Roman" w:hAnsi="Times New Roman" w:cs="Times New Roman"/>
          <w:color w:val="000000"/>
          <w:sz w:val="24"/>
          <w:szCs w:val="24"/>
        </w:rPr>
        <w:t>Tropické oblasti jsou ideálním místem pro pěstování banánů, zejména proto, že je zde velké množství vody, která je pro růst banánů velmi důležitá. Na druhou stranu velké množství srážkové vody způsobuje vyplavování umělých hnojiv do okolních oblastí, což zabíjí ryby a další zvířenu, čímž dochází k narušení ekosystému. Pulver a Usher (1994) uvádí, že 60–85 % umělých hnojiv odtéká do okolí. Někde to došlo až tak daleko, že půda se stala v okolí plantáží natolik kontaminovanou, že se nehodila pro zemědělské využití. Chemikálie používané na plantážích klasifikované podle WHO</w:t>
      </w:r>
      <w:r w:rsidRPr="00DF128A">
        <w:rPr>
          <w:rStyle w:val="Znakapoznpodarou"/>
          <w:rFonts w:ascii="Times New Roman" w:hAnsi="Times New Roman" w:cs="Times New Roman"/>
          <w:color w:val="000000"/>
          <w:sz w:val="24"/>
          <w:szCs w:val="24"/>
        </w:rPr>
        <w:footnoteReference w:id="28"/>
      </w:r>
      <w:r w:rsidRPr="00DF128A">
        <w:rPr>
          <w:rFonts w:ascii="Times New Roman" w:hAnsi="Times New Roman" w:cs="Times New Roman"/>
          <w:color w:val="000000"/>
          <w:sz w:val="24"/>
          <w:szCs w:val="24"/>
        </w:rPr>
        <w:t xml:space="preserve"> zahrnují i čtyři, které byly označeny za extrémně nebezpečné. Odhaduje se, že velké množství pesticidů rozprášených z letadel neskončí na banánech, ale dopadne na okolní půdu a vodní plochy, čímž negativně ovlivní životy pracovníků plantáží i jejich rodin (užitková voda se stane kontaminovanou). V některých zemích platí zákon, kdy pracovníci během postřiku chemikálii z letadel se nesmí zdržovat na plantážích, avšak v mnoha zemích je tento zákon porušovaný. (</w:t>
      </w:r>
      <w:r w:rsidR="00BC5C10">
        <w:rPr>
          <w:rFonts w:ascii="Times New Roman" w:hAnsi="Times New Roman" w:cs="Times New Roman"/>
          <w:color w:val="000000"/>
          <w:sz w:val="24"/>
          <w:szCs w:val="24"/>
        </w:rPr>
        <w:t>Bananalink</w:t>
      </w:r>
      <w:r w:rsidRPr="00DF128A">
        <w:rPr>
          <w:rFonts w:ascii="Times New Roman" w:hAnsi="Times New Roman" w:cs="Times New Roman"/>
          <w:color w:val="000000"/>
          <w:sz w:val="24"/>
          <w:szCs w:val="24"/>
        </w:rPr>
        <w:t xml:space="preserve"> 2006)</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Pralesy a jiné přirozené plochy jsou odstraňovány, aby vznikl prostor pro plantáže.</w:t>
      </w:r>
      <w:r w:rsidRPr="00DF128A">
        <w:rPr>
          <w:rFonts w:ascii="Times New Roman" w:hAnsi="Times New Roman" w:cs="Times New Roman"/>
          <w:color w:val="000000"/>
          <w:sz w:val="24"/>
          <w:szCs w:val="24"/>
        </w:rPr>
        <w:t xml:space="preserve"> Podle serveru panna.org v Kostarice (provincii Costa Ricin) v letech 1979 a 1992 došlo k velké expanzi banánových plantáží – bylo odlesněno přes 50 000 hektarů lesa. Aby vznikl prostor pro zakládání plantáží, musely být vykáceny velké plochy tropických deštných lesů. Ačkoli se odlesňování zpomalilo (částečně také proto, že četné plochy již byly vykáceny) stále některé společnosti expandují do panenského tropického lesa.</w:t>
      </w:r>
    </w:p>
    <w:p w:rsidR="00DF128A" w:rsidRPr="00DF128A" w:rsidRDefault="00DF128A" w:rsidP="00DF128A">
      <w:pPr>
        <w:widowControl w:val="0"/>
        <w:spacing w:line="276" w:lineRule="auto"/>
        <w:ind w:firstLine="709"/>
        <w:jc w:val="both"/>
        <w:rPr>
          <w:rFonts w:ascii="Times New Roman" w:hAnsi="Times New Roman" w:cs="Times New Roman"/>
          <w:color w:val="000000"/>
          <w:sz w:val="24"/>
          <w:szCs w:val="24"/>
        </w:rPr>
      </w:pPr>
      <w:r w:rsidRPr="00DF128A">
        <w:rPr>
          <w:rFonts w:ascii="Times New Roman" w:hAnsi="Times New Roman" w:cs="Times New Roman"/>
          <w:sz w:val="24"/>
          <w:szCs w:val="24"/>
        </w:rPr>
        <w:t xml:space="preserve">Banánovou produkcí vzniká velké množství odpadů. </w:t>
      </w:r>
      <w:r w:rsidRPr="00DF128A">
        <w:rPr>
          <w:rFonts w:ascii="Times New Roman" w:hAnsi="Times New Roman" w:cs="Times New Roman"/>
          <w:color w:val="000000"/>
          <w:sz w:val="24"/>
          <w:szCs w:val="24"/>
        </w:rPr>
        <w:t>Produkce je tak velká, že nadnárodní firmy nestíhají (někdy i nechtějí) zkompostovat veškerý biologický odpad (např. ovoce nesplňující standardy kvality), proto většina odpadů končí na okrajích plantáží či v řekách (kde jejich rozklad hubí ryby). Nejen biologický, ale také plastikový odpad jako jsou sáčky (chrání banány před kolísáním klimatu) vznikají při produkci banánů. Bylo odhadnuto, na každou vyprodukovanou tunu ban</w:t>
      </w:r>
      <w:r w:rsidR="00BC5C10">
        <w:rPr>
          <w:rFonts w:ascii="Times New Roman" w:hAnsi="Times New Roman" w:cs="Times New Roman"/>
          <w:color w:val="000000"/>
          <w:sz w:val="24"/>
          <w:szCs w:val="24"/>
        </w:rPr>
        <w:t>ánů připadnou dvě tuny odpadu. (Panda</w:t>
      </w:r>
      <w:r w:rsidRPr="00DF128A">
        <w:rPr>
          <w:rFonts w:ascii="Times New Roman" w:hAnsi="Times New Roman" w:cs="Times New Roman"/>
          <w:color w:val="000000"/>
          <w:sz w:val="24"/>
          <w:szCs w:val="24"/>
        </w:rPr>
        <w:t xml:space="preserve"> 2008)</w:t>
      </w:r>
    </w:p>
    <w:p w:rsidR="00DF128A" w:rsidRPr="00DF128A" w:rsidRDefault="00DF128A" w:rsidP="008843BB">
      <w:pPr>
        <w:widowControl w:val="0"/>
        <w:autoSpaceDE w:val="0"/>
        <w:autoSpaceDN w:val="0"/>
        <w:adjustRightInd w:val="0"/>
        <w:spacing w:line="276" w:lineRule="auto"/>
        <w:jc w:val="both"/>
        <w:rPr>
          <w:rFonts w:ascii="Times New Roman" w:hAnsi="Times New Roman" w:cs="Times New Roman"/>
          <w:sz w:val="24"/>
          <w:szCs w:val="24"/>
        </w:rPr>
      </w:pPr>
    </w:p>
    <w:p w:rsidR="00DF128A" w:rsidRPr="00DF128A" w:rsidRDefault="00DF128A" w:rsidP="008843BB">
      <w:pPr>
        <w:widowControl w:val="0"/>
        <w:autoSpaceDE w:val="0"/>
        <w:autoSpaceDN w:val="0"/>
        <w:adjustRightInd w:val="0"/>
        <w:spacing w:line="276" w:lineRule="auto"/>
        <w:jc w:val="both"/>
        <w:rPr>
          <w:rFonts w:ascii="Times New Roman" w:hAnsi="Times New Roman" w:cs="Times New Roman"/>
          <w:b/>
          <w:color w:val="000000"/>
          <w:sz w:val="24"/>
          <w:szCs w:val="24"/>
        </w:rPr>
      </w:pPr>
      <w:r w:rsidRPr="00DF128A">
        <w:rPr>
          <w:rFonts w:ascii="Times New Roman" w:hAnsi="Times New Roman" w:cs="Times New Roman"/>
          <w:b/>
          <w:color w:val="000000"/>
          <w:sz w:val="24"/>
          <w:szCs w:val="24"/>
        </w:rPr>
        <w:t>Sociální dopady</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color w:val="000000"/>
          <w:sz w:val="24"/>
          <w:szCs w:val="24"/>
        </w:rPr>
        <w:t>Pro několik milionů lidí je světový banánový obchod zdrojem obživy –</w:t>
      </w:r>
      <w:r w:rsidRPr="00DF128A">
        <w:rPr>
          <w:rFonts w:ascii="Times New Roman" w:hAnsi="Times New Roman" w:cs="Times New Roman"/>
          <w:sz w:val="24"/>
          <w:szCs w:val="24"/>
        </w:rPr>
        <w:t xml:space="preserve"> poskytuje pracovní příležitost a možnost výdělku. </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Pracovníci plantáží pracují dlouhé hodiny často 10-12 hod./den. Tzv. „přesčasy“ jsou většinou povinné a neproplacené. Získané mzdy jsou velmi nízké v Ekvádoru 2,5–4 dolarů za den. Ve všech produkčních zemích existují minimální mzdy, jež musí pracovník plantáže získat, avšak tyto částky jsou tak nízké, že nestačí pokrýt tzv. existenční minimum (bydlení, potraviny, vzdělání, dopravu, šatstvo). (B</w:t>
      </w:r>
      <w:r w:rsidR="00BC5C10">
        <w:rPr>
          <w:rFonts w:ascii="Times New Roman" w:hAnsi="Times New Roman" w:cs="Times New Roman"/>
          <w:sz w:val="24"/>
          <w:szCs w:val="24"/>
        </w:rPr>
        <w:t>ananalink</w:t>
      </w:r>
      <w:r w:rsidRPr="00DF128A">
        <w:rPr>
          <w:rFonts w:ascii="Times New Roman" w:hAnsi="Times New Roman" w:cs="Times New Roman"/>
          <w:sz w:val="24"/>
          <w:szCs w:val="24"/>
        </w:rPr>
        <w:t xml:space="preserve"> 2008)</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lastRenderedPageBreak/>
        <w:t>Běžně se stává, že společnosti si najímají pracovníky jen brigádně (na vedlejší úvazek) na 3 až 6 měsíců, nepřímo zaměstnávají pracovníky, čímž se obchází zodpovědnost za dodržování pracovních podmínek zaměstnanců. Pracovníci se bojí, že ztratí svoji práci, proto se neorganizují do odborů, čímž dochází k omezování jejich svobody. V květnu 2000 se sešli zástupci společností Dole, Chiquita, Del Monte s latinskoamerickými a filipínskými představiteli odborové organizace, výsledkem setkání se stal vznik Stálého výboru, který se schází minimálně dvakrát za rok. Jednalo se o první kroky k vyřešení složité otázky. V roce 2001 pouze společnost Chiquita podepsala dohodu o dělnických právech s COLSIBA (Latinskoamerický banánový odbor) a Mezinárodní unií potravinářských a zemědělských pracovníků (IUF). (</w:t>
      </w:r>
      <w:r w:rsidR="00BC5C10" w:rsidRPr="00DF128A">
        <w:rPr>
          <w:rFonts w:ascii="Times New Roman" w:hAnsi="Times New Roman" w:cs="Times New Roman"/>
          <w:sz w:val="24"/>
          <w:szCs w:val="24"/>
        </w:rPr>
        <w:t>B</w:t>
      </w:r>
      <w:r w:rsidR="00BC5C10">
        <w:rPr>
          <w:rFonts w:ascii="Times New Roman" w:hAnsi="Times New Roman" w:cs="Times New Roman"/>
          <w:sz w:val="24"/>
          <w:szCs w:val="24"/>
        </w:rPr>
        <w:t>ananalink</w:t>
      </w:r>
      <w:r w:rsidRPr="00DF128A">
        <w:rPr>
          <w:rFonts w:ascii="Times New Roman" w:hAnsi="Times New Roman" w:cs="Times New Roman"/>
          <w:sz w:val="24"/>
          <w:szCs w:val="24"/>
        </w:rPr>
        <w:t xml:space="preserve"> 2008)</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Dětská práce je na banánových plantážích velmi běžná. Plat dvou dospělých většinou nestačí pro uživení celé rodiny, a proto je potřeba plat ještě jednoho dítěte. Podle studie Human Rights Watch, ve které popisuje svou práci na plantážích 45 dětí, musí být na základě ujednání Mezinárodní organizace práce OSN - ILO dětská práce na banánových plantážích zařazena mezi " nejhorší druhy dětské práce" vůbec. (L</w:t>
      </w:r>
      <w:r w:rsidR="00BC5C10">
        <w:rPr>
          <w:rFonts w:ascii="Times New Roman" w:hAnsi="Times New Roman" w:cs="Times New Roman"/>
          <w:sz w:val="24"/>
          <w:szCs w:val="24"/>
        </w:rPr>
        <w:t>andivar</w:t>
      </w:r>
      <w:r w:rsidRPr="00DF128A">
        <w:rPr>
          <w:rFonts w:ascii="Times New Roman" w:hAnsi="Times New Roman" w:cs="Times New Roman"/>
          <w:sz w:val="24"/>
          <w:szCs w:val="24"/>
        </w:rPr>
        <w:t xml:space="preserve"> 2005)</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Vysoké kladné migrační saldo v zemích ovládanými nadnárodními společnostmi vedlo k vytvoření čistě mužských vesnic, nízké mzdy a nejistota práce vedla k problémům v hostitelských zemích s alkoholismem, narkomanií, prostitucí, násilí a rozpadu rodinného života.</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color w:val="000000"/>
          <w:sz w:val="24"/>
          <w:szCs w:val="24"/>
        </w:rPr>
      </w:pPr>
    </w:p>
    <w:p w:rsidR="00DF128A" w:rsidRPr="00DF128A" w:rsidRDefault="00DF128A" w:rsidP="008843BB">
      <w:pPr>
        <w:widowControl w:val="0"/>
        <w:autoSpaceDE w:val="0"/>
        <w:autoSpaceDN w:val="0"/>
        <w:adjustRightInd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Dopady na politiku státu</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Protože banánový obchod je v rukou „jen“ 5 nadnárodních firem, které jsou velmi silné, vyvíjí tlak na jednotlivé produkční země. Respektive na vlády jednotlivých zemí – korporace chtějí co nejnižší zdanění, preferenční přístup k půjčkám, a deregulaci sociální a environmentální politiky. Mnohokrát státy ustupují požadavkům nadnárodních firem. Několik příkladů jen pro představu: v roce 1992 se panamská vláda snažila zvýšit minimální mzdu, ovšem reakce byla taková, že od tohoto svého požadavku musela odstoupit, protože Chiquita pohrozila stáhnutím kontraktů s místními pěstiteli. Vliv firmy Dole na vlády v Kamerunu a Pobřeží slonoviny je také značný. Nadnárodní firmy působí nejen na vlády méně rozvinutých zemí, ale také na vyspělé průmyslové země, tím, že ovlivňují obchodní politiku. Právě korporace Chiquita dala prvotní impuls ve stížnosti na evropský dovozní režim banánů, který americká vláda přinesla k Světovému obchodní organizaci (WTO) v roce 1995. (</w:t>
      </w:r>
      <w:r w:rsidR="00BC5C10" w:rsidRPr="00DF128A">
        <w:rPr>
          <w:rFonts w:ascii="Times New Roman" w:hAnsi="Times New Roman" w:cs="Times New Roman"/>
          <w:sz w:val="24"/>
          <w:szCs w:val="24"/>
        </w:rPr>
        <w:t>B</w:t>
      </w:r>
      <w:r w:rsidR="00BC5C10">
        <w:rPr>
          <w:rFonts w:ascii="Times New Roman" w:hAnsi="Times New Roman" w:cs="Times New Roman"/>
          <w:sz w:val="24"/>
          <w:szCs w:val="24"/>
        </w:rPr>
        <w:t>ananalink</w:t>
      </w:r>
      <w:r w:rsidRPr="00DF128A">
        <w:rPr>
          <w:rFonts w:ascii="Times New Roman" w:hAnsi="Times New Roman" w:cs="Times New Roman"/>
          <w:sz w:val="24"/>
          <w:szCs w:val="24"/>
        </w:rPr>
        <w:t xml:space="preserve"> 2008)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Evropská unie v rámci své rozvojové pomoci využívá nástrojů obchodní politiky (snížená cla, rozšiřování kvót), která umožňují snazší přístup pro rozvojové země na trh EU, díky dvěma preferenčním režimům vytváří mezi těmito zeměmi rozdíly. První režim se týká zemí AKP,</w:t>
      </w:r>
      <w:r w:rsidRPr="00DF128A">
        <w:rPr>
          <w:rStyle w:val="Znakapoznpodarou"/>
          <w:rFonts w:ascii="Times New Roman" w:hAnsi="Times New Roman" w:cs="Times New Roman"/>
          <w:sz w:val="24"/>
          <w:szCs w:val="24"/>
        </w:rPr>
        <w:footnoteReference w:id="29"/>
      </w:r>
      <w:r w:rsidRPr="00DF128A">
        <w:rPr>
          <w:rFonts w:ascii="Times New Roman" w:hAnsi="Times New Roman" w:cs="Times New Roman"/>
          <w:sz w:val="24"/>
          <w:szCs w:val="24"/>
        </w:rPr>
        <w:t xml:space="preserve"> na jejichž dovozy jsou uplatňována nulová cla a příznivější kvóty, zatímco do druhého režimu (režim GSP), který už není tak výhodný, spadají všechny ostatní rozvojové země. Tato diferenciace se právě stala jádrem problému při Sporu o banány mezi USA-EU. Přestože USA není producentem samotných banánů, v celém sporu vystupuje jako ochránce zájmů domácích distributorských firem Chiquita a Dole. Roznětkou celého sporu se stalo </w:t>
      </w:r>
      <w:r w:rsidRPr="00DF128A">
        <w:rPr>
          <w:rFonts w:ascii="Times New Roman" w:hAnsi="Times New Roman" w:cs="Times New Roman"/>
          <w:sz w:val="24"/>
          <w:szCs w:val="24"/>
        </w:rPr>
        <w:lastRenderedPageBreak/>
        <w:t>nařízení Evropské komise č. 404/ 1993, kdy byly na dovozy banánů zavedeny nové kvóty a cla, která postihla země spadající do režimu GSP. Oficiálním odůvodněním těchto opatření bylo tvrzení, že americké banány nevyhovují normám kvality EU (silná slupka, málo dužniny). (H</w:t>
      </w:r>
      <w:r w:rsidR="00BC5C10">
        <w:rPr>
          <w:rFonts w:ascii="Times New Roman" w:hAnsi="Times New Roman" w:cs="Times New Roman"/>
          <w:sz w:val="24"/>
          <w:szCs w:val="24"/>
        </w:rPr>
        <w:t>olubová</w:t>
      </w:r>
      <w:r w:rsidRPr="00DF128A">
        <w:rPr>
          <w:rFonts w:ascii="Times New Roman" w:hAnsi="Times New Roman" w:cs="Times New Roman"/>
          <w:sz w:val="24"/>
          <w:szCs w:val="24"/>
        </w:rPr>
        <w:t xml:space="preserve"> 2005)</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Spojené státy a řada dalších latinskoamerických zemí (Guatemala, Honduras, Mexiko a další) s tvrzením nesouhlasily a podaly stížnost na porušování rovného zacházení k WTO (28. 10. 1995). Jako reakci na nepřístupnost Evropanů k dohodě uvalila americká vláda podle ustanovení Super 301</w:t>
      </w:r>
      <w:r w:rsidRPr="00DF128A">
        <w:rPr>
          <w:rStyle w:val="Znakapoznpodarou"/>
          <w:rFonts w:ascii="Times New Roman" w:hAnsi="Times New Roman" w:cs="Times New Roman"/>
          <w:sz w:val="24"/>
          <w:szCs w:val="24"/>
        </w:rPr>
        <w:footnoteReference w:id="30"/>
      </w:r>
      <w:r w:rsidRPr="00DF128A">
        <w:rPr>
          <w:rFonts w:ascii="Times New Roman" w:hAnsi="Times New Roman" w:cs="Times New Roman"/>
          <w:sz w:val="24"/>
          <w:szCs w:val="24"/>
        </w:rPr>
        <w:t xml:space="preserve"> sankce na dovozy z EU ve výši 191,4 mil. USD ročně (19. 4. 1999). Odpověď EU na dané opatření netrvala dlouho a obě strany zasedly k jednacímu stolu s výsledkem stanovení přechodného režimu (duben 2001) na období 2001-2005. Úprava proběhla ve dvou fázích, přičemž jednotlivé dovozy byly rozděleny do tří skupin (A, B, C) a pro každou skupinu byla přidělena určitá kvóta a clo, přičemž kvóty byly stanoveny na základě historie exportů dané komodity (tab. 5.). (P</w:t>
      </w:r>
      <w:r w:rsidR="00567FA7">
        <w:rPr>
          <w:rFonts w:ascii="Times New Roman" w:hAnsi="Times New Roman" w:cs="Times New Roman"/>
          <w:sz w:val="24"/>
          <w:szCs w:val="24"/>
        </w:rPr>
        <w:t>enn</w:t>
      </w:r>
      <w:r w:rsidRPr="00DF128A">
        <w:rPr>
          <w:rFonts w:ascii="Times New Roman" w:hAnsi="Times New Roman" w:cs="Times New Roman"/>
          <w:sz w:val="24"/>
          <w:szCs w:val="24"/>
        </w:rPr>
        <w:t xml:space="preserve"> 2007)</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128A" w:rsidP="00A80C9E">
      <w:pPr>
        <w:widowControl w:val="0"/>
        <w:spacing w:line="276" w:lineRule="auto"/>
        <w:jc w:val="both"/>
        <w:rPr>
          <w:rFonts w:ascii="Times New Roman" w:hAnsi="Times New Roman" w:cs="Times New Roman"/>
          <w:sz w:val="24"/>
          <w:szCs w:val="24"/>
        </w:rPr>
      </w:pPr>
      <w:r w:rsidRPr="00DF128A">
        <w:rPr>
          <w:rFonts w:ascii="Times New Roman" w:hAnsi="Times New Roman" w:cs="Times New Roman"/>
          <w:b/>
          <w:sz w:val="24"/>
          <w:szCs w:val="24"/>
        </w:rPr>
        <w:t>Tab. 5.</w:t>
      </w:r>
      <w:r w:rsidRPr="00DF128A">
        <w:rPr>
          <w:rFonts w:ascii="Times New Roman" w:hAnsi="Times New Roman" w:cs="Times New Roman"/>
          <w:sz w:val="24"/>
          <w:szCs w:val="24"/>
        </w:rPr>
        <w:t xml:space="preserve"> Stanovení cel a kvó</w:t>
      </w:r>
      <w:r w:rsidR="00A80C9E">
        <w:rPr>
          <w:rFonts w:ascii="Times New Roman" w:hAnsi="Times New Roman" w:cs="Times New Roman"/>
          <w:sz w:val="24"/>
          <w:szCs w:val="24"/>
        </w:rPr>
        <w:t>t na dovozy banánů (2001-2005).</w:t>
      </w:r>
    </w:p>
    <w:tbl>
      <w:tblPr>
        <w:tblW w:w="5000" w:type="pct"/>
        <w:tblCellMar>
          <w:left w:w="70" w:type="dxa"/>
          <w:right w:w="70" w:type="dxa"/>
        </w:tblCellMar>
        <w:tblLook w:val="0000" w:firstRow="0" w:lastRow="0" w:firstColumn="0" w:lastColumn="0" w:noHBand="0" w:noVBand="0"/>
      </w:tblPr>
      <w:tblGrid>
        <w:gridCol w:w="1316"/>
        <w:gridCol w:w="1316"/>
        <w:gridCol w:w="1316"/>
        <w:gridCol w:w="1316"/>
        <w:gridCol w:w="1316"/>
        <w:gridCol w:w="1316"/>
        <w:gridCol w:w="1316"/>
      </w:tblGrid>
      <w:tr w:rsidR="00DF128A" w:rsidRPr="00DF128A" w:rsidTr="00DF128A">
        <w:trPr>
          <w:trHeight w:val="337"/>
        </w:trPr>
        <w:tc>
          <w:tcPr>
            <w:tcW w:w="1316" w:type="dxa"/>
            <w:vMerge w:val="restart"/>
            <w:tcBorders>
              <w:top w:val="single" w:sz="18" w:space="0" w:color="auto"/>
              <w:left w:val="single" w:sz="18" w:space="0" w:color="auto"/>
              <w:bottom w:val="double" w:sz="6" w:space="0" w:color="000000"/>
              <w:right w:val="single" w:sz="4" w:space="0" w:color="auto"/>
            </w:tcBorders>
            <w:shd w:val="clear" w:color="auto" w:fill="969696"/>
            <w:vAlign w:val="center"/>
          </w:tcPr>
          <w:p w:rsidR="00DF128A" w:rsidRPr="00A80C9E" w:rsidRDefault="00DF128A" w:rsidP="00A80C9E">
            <w:pPr>
              <w:widowControl w:val="0"/>
              <w:spacing w:line="276" w:lineRule="auto"/>
              <w:jc w:val="both"/>
              <w:rPr>
                <w:rFonts w:cstheme="minorHAnsi"/>
                <w:b/>
                <w:bCs/>
                <w:sz w:val="20"/>
                <w:szCs w:val="20"/>
              </w:rPr>
            </w:pPr>
            <w:r w:rsidRPr="00A80C9E">
              <w:rPr>
                <w:rFonts w:cstheme="minorHAnsi"/>
                <w:b/>
                <w:bCs/>
                <w:sz w:val="20"/>
                <w:szCs w:val="20"/>
              </w:rPr>
              <w:t>Fáze 1</w:t>
            </w:r>
          </w:p>
        </w:tc>
        <w:tc>
          <w:tcPr>
            <w:tcW w:w="1316" w:type="dxa"/>
            <w:vMerge w:val="restart"/>
            <w:tcBorders>
              <w:top w:val="single" w:sz="18" w:space="0" w:color="auto"/>
              <w:left w:val="single" w:sz="4" w:space="0" w:color="auto"/>
              <w:bottom w:val="double" w:sz="6" w:space="0" w:color="000000"/>
              <w:right w:val="single" w:sz="4" w:space="0" w:color="auto"/>
            </w:tcBorders>
            <w:shd w:val="clear" w:color="auto" w:fill="C0C0C0"/>
            <w:vAlign w:val="center"/>
          </w:tcPr>
          <w:p w:rsidR="00DF128A" w:rsidRPr="00A80C9E" w:rsidRDefault="00DF128A" w:rsidP="00A80C9E">
            <w:pPr>
              <w:widowControl w:val="0"/>
              <w:spacing w:line="276" w:lineRule="auto"/>
              <w:jc w:val="both"/>
              <w:rPr>
                <w:rFonts w:cstheme="minorHAnsi"/>
                <w:b/>
                <w:bCs/>
                <w:sz w:val="20"/>
                <w:szCs w:val="20"/>
              </w:rPr>
            </w:pPr>
            <w:r w:rsidRPr="00A80C9E">
              <w:rPr>
                <w:rFonts w:cstheme="minorHAnsi"/>
                <w:b/>
                <w:bCs/>
                <w:sz w:val="20"/>
                <w:szCs w:val="20"/>
              </w:rPr>
              <w:t>Skupina</w:t>
            </w:r>
          </w:p>
        </w:tc>
        <w:tc>
          <w:tcPr>
            <w:tcW w:w="1316" w:type="dxa"/>
            <w:vMerge w:val="restart"/>
            <w:tcBorders>
              <w:top w:val="single" w:sz="18" w:space="0" w:color="auto"/>
              <w:left w:val="single" w:sz="4" w:space="0" w:color="auto"/>
              <w:bottom w:val="double" w:sz="6" w:space="0" w:color="000000"/>
              <w:right w:val="single" w:sz="4" w:space="0" w:color="auto"/>
            </w:tcBorders>
            <w:shd w:val="clear" w:color="auto" w:fill="C0C0C0"/>
            <w:vAlign w:val="center"/>
          </w:tcPr>
          <w:p w:rsidR="00DF128A" w:rsidRPr="00A80C9E" w:rsidRDefault="00DF128A" w:rsidP="00A80C9E">
            <w:pPr>
              <w:widowControl w:val="0"/>
              <w:spacing w:line="276" w:lineRule="auto"/>
              <w:jc w:val="both"/>
              <w:rPr>
                <w:rFonts w:cstheme="minorHAnsi"/>
                <w:b/>
                <w:bCs/>
                <w:sz w:val="20"/>
                <w:szCs w:val="20"/>
              </w:rPr>
            </w:pPr>
            <w:r w:rsidRPr="00A80C9E">
              <w:rPr>
                <w:rFonts w:cstheme="minorHAnsi"/>
                <w:b/>
                <w:bCs/>
                <w:sz w:val="20"/>
                <w:szCs w:val="20"/>
              </w:rPr>
              <w:t>Kvóta (tuny)</w:t>
            </w:r>
          </w:p>
        </w:tc>
        <w:tc>
          <w:tcPr>
            <w:tcW w:w="1316" w:type="dxa"/>
            <w:vMerge w:val="restart"/>
            <w:tcBorders>
              <w:top w:val="single" w:sz="18" w:space="0" w:color="auto"/>
              <w:left w:val="single" w:sz="4" w:space="0" w:color="auto"/>
              <w:bottom w:val="double" w:sz="6" w:space="0" w:color="000000"/>
              <w:right w:val="single" w:sz="12" w:space="0" w:color="auto"/>
            </w:tcBorders>
            <w:shd w:val="clear" w:color="auto" w:fill="C0C0C0"/>
            <w:vAlign w:val="center"/>
          </w:tcPr>
          <w:p w:rsidR="00DF128A" w:rsidRPr="00A80C9E" w:rsidRDefault="00DF128A" w:rsidP="00A80C9E">
            <w:pPr>
              <w:widowControl w:val="0"/>
              <w:spacing w:line="276" w:lineRule="auto"/>
              <w:jc w:val="both"/>
              <w:rPr>
                <w:rFonts w:cstheme="minorHAnsi"/>
                <w:b/>
                <w:bCs/>
                <w:sz w:val="20"/>
                <w:szCs w:val="20"/>
              </w:rPr>
            </w:pPr>
            <w:r w:rsidRPr="00A80C9E">
              <w:rPr>
                <w:rFonts w:cstheme="minorHAnsi"/>
                <w:b/>
                <w:bCs/>
                <w:sz w:val="20"/>
                <w:szCs w:val="20"/>
              </w:rPr>
              <w:t>Clo (EURO)</w:t>
            </w:r>
          </w:p>
        </w:tc>
        <w:tc>
          <w:tcPr>
            <w:tcW w:w="1316" w:type="dxa"/>
            <w:vMerge w:val="restart"/>
            <w:tcBorders>
              <w:top w:val="single" w:sz="18" w:space="0" w:color="auto"/>
              <w:left w:val="single" w:sz="12" w:space="0" w:color="auto"/>
              <w:bottom w:val="single" w:sz="12" w:space="0" w:color="000000"/>
              <w:right w:val="single" w:sz="4" w:space="0" w:color="auto"/>
            </w:tcBorders>
            <w:shd w:val="clear" w:color="auto" w:fill="969696"/>
            <w:vAlign w:val="center"/>
          </w:tcPr>
          <w:p w:rsidR="00DF128A" w:rsidRPr="00A80C9E" w:rsidRDefault="00DF128A" w:rsidP="00A80C9E">
            <w:pPr>
              <w:widowControl w:val="0"/>
              <w:spacing w:line="276" w:lineRule="auto"/>
              <w:jc w:val="both"/>
              <w:rPr>
                <w:rFonts w:cstheme="minorHAnsi"/>
                <w:b/>
                <w:bCs/>
                <w:sz w:val="20"/>
                <w:szCs w:val="20"/>
              </w:rPr>
            </w:pPr>
            <w:r w:rsidRPr="00A80C9E">
              <w:rPr>
                <w:rFonts w:cstheme="minorHAnsi"/>
                <w:b/>
                <w:bCs/>
                <w:sz w:val="20"/>
                <w:szCs w:val="20"/>
              </w:rPr>
              <w:t>Fáze 2</w:t>
            </w:r>
          </w:p>
        </w:tc>
        <w:tc>
          <w:tcPr>
            <w:tcW w:w="1316" w:type="dxa"/>
            <w:vMerge w:val="restart"/>
            <w:tcBorders>
              <w:top w:val="single" w:sz="18" w:space="0" w:color="auto"/>
              <w:left w:val="single" w:sz="4" w:space="0" w:color="auto"/>
              <w:bottom w:val="double" w:sz="6" w:space="0" w:color="000000"/>
              <w:right w:val="single" w:sz="4" w:space="0" w:color="auto"/>
            </w:tcBorders>
            <w:shd w:val="clear" w:color="auto" w:fill="C0C0C0"/>
            <w:vAlign w:val="center"/>
          </w:tcPr>
          <w:p w:rsidR="00DF128A" w:rsidRPr="00A80C9E" w:rsidRDefault="00DF128A" w:rsidP="00A80C9E">
            <w:pPr>
              <w:widowControl w:val="0"/>
              <w:spacing w:line="276" w:lineRule="auto"/>
              <w:jc w:val="both"/>
              <w:rPr>
                <w:rFonts w:cstheme="minorHAnsi"/>
                <w:b/>
                <w:bCs/>
                <w:sz w:val="20"/>
                <w:szCs w:val="20"/>
              </w:rPr>
            </w:pPr>
            <w:r w:rsidRPr="00A80C9E">
              <w:rPr>
                <w:rFonts w:cstheme="minorHAnsi"/>
                <w:b/>
                <w:bCs/>
                <w:sz w:val="20"/>
                <w:szCs w:val="20"/>
              </w:rPr>
              <w:t>Kvóta (tuny)</w:t>
            </w:r>
          </w:p>
        </w:tc>
        <w:tc>
          <w:tcPr>
            <w:tcW w:w="1316" w:type="dxa"/>
            <w:vMerge w:val="restart"/>
            <w:tcBorders>
              <w:top w:val="single" w:sz="18" w:space="0" w:color="auto"/>
              <w:left w:val="single" w:sz="4" w:space="0" w:color="auto"/>
              <w:bottom w:val="double" w:sz="6" w:space="0" w:color="000000"/>
              <w:right w:val="single" w:sz="18" w:space="0" w:color="auto"/>
            </w:tcBorders>
            <w:shd w:val="clear" w:color="auto" w:fill="C0C0C0"/>
            <w:vAlign w:val="center"/>
          </w:tcPr>
          <w:p w:rsidR="00DF128A" w:rsidRPr="00A80C9E" w:rsidRDefault="00DF128A" w:rsidP="00A80C9E">
            <w:pPr>
              <w:widowControl w:val="0"/>
              <w:spacing w:line="276" w:lineRule="auto"/>
              <w:jc w:val="both"/>
              <w:rPr>
                <w:rFonts w:cstheme="minorHAnsi"/>
                <w:b/>
                <w:bCs/>
                <w:sz w:val="20"/>
                <w:szCs w:val="20"/>
              </w:rPr>
            </w:pPr>
            <w:r w:rsidRPr="00A80C9E">
              <w:rPr>
                <w:rFonts w:cstheme="minorHAnsi"/>
                <w:b/>
                <w:bCs/>
                <w:sz w:val="20"/>
                <w:szCs w:val="20"/>
              </w:rPr>
              <w:t>Clo (EURO)</w:t>
            </w:r>
          </w:p>
        </w:tc>
      </w:tr>
      <w:tr w:rsidR="00DF128A" w:rsidRPr="00DF128A" w:rsidTr="00A80C9E">
        <w:trPr>
          <w:trHeight w:val="281"/>
        </w:trPr>
        <w:tc>
          <w:tcPr>
            <w:tcW w:w="1316" w:type="dxa"/>
            <w:vMerge/>
            <w:tcBorders>
              <w:top w:val="single" w:sz="12" w:space="0" w:color="auto"/>
              <w:left w:val="single" w:sz="18" w:space="0" w:color="auto"/>
              <w:bottom w:val="double" w:sz="6" w:space="0" w:color="000000"/>
              <w:right w:val="single" w:sz="4" w:space="0" w:color="auto"/>
            </w:tcBorders>
            <w:shd w:val="clear" w:color="auto" w:fill="auto"/>
            <w:vAlign w:val="center"/>
          </w:tcPr>
          <w:p w:rsidR="00DF128A" w:rsidRPr="00A80C9E" w:rsidRDefault="00DF128A" w:rsidP="00DF128A">
            <w:pPr>
              <w:widowControl w:val="0"/>
              <w:spacing w:line="276" w:lineRule="auto"/>
              <w:ind w:firstLine="709"/>
              <w:jc w:val="both"/>
              <w:rPr>
                <w:rFonts w:cstheme="minorHAnsi"/>
                <w:b/>
                <w:bCs/>
                <w:sz w:val="20"/>
                <w:szCs w:val="20"/>
              </w:rPr>
            </w:pPr>
          </w:p>
        </w:tc>
        <w:tc>
          <w:tcPr>
            <w:tcW w:w="1316" w:type="dxa"/>
            <w:vMerge/>
            <w:tcBorders>
              <w:top w:val="single" w:sz="12" w:space="0" w:color="auto"/>
              <w:left w:val="single" w:sz="4" w:space="0" w:color="auto"/>
              <w:bottom w:val="double" w:sz="6" w:space="0" w:color="000000"/>
              <w:right w:val="single" w:sz="4" w:space="0" w:color="auto"/>
            </w:tcBorders>
            <w:shd w:val="clear" w:color="auto" w:fill="auto"/>
            <w:vAlign w:val="center"/>
          </w:tcPr>
          <w:p w:rsidR="00DF128A" w:rsidRPr="00A80C9E" w:rsidRDefault="00DF128A" w:rsidP="00DF128A">
            <w:pPr>
              <w:widowControl w:val="0"/>
              <w:spacing w:line="276" w:lineRule="auto"/>
              <w:ind w:firstLine="709"/>
              <w:jc w:val="both"/>
              <w:rPr>
                <w:rFonts w:cstheme="minorHAnsi"/>
                <w:b/>
                <w:bCs/>
                <w:sz w:val="20"/>
                <w:szCs w:val="20"/>
              </w:rPr>
            </w:pPr>
          </w:p>
        </w:tc>
        <w:tc>
          <w:tcPr>
            <w:tcW w:w="1316" w:type="dxa"/>
            <w:vMerge/>
            <w:tcBorders>
              <w:top w:val="single" w:sz="12" w:space="0" w:color="auto"/>
              <w:left w:val="single" w:sz="4" w:space="0" w:color="auto"/>
              <w:bottom w:val="double" w:sz="6" w:space="0" w:color="000000"/>
              <w:right w:val="single" w:sz="4" w:space="0" w:color="auto"/>
            </w:tcBorders>
            <w:shd w:val="clear" w:color="auto" w:fill="auto"/>
            <w:vAlign w:val="center"/>
          </w:tcPr>
          <w:p w:rsidR="00DF128A" w:rsidRPr="00A80C9E" w:rsidRDefault="00DF128A" w:rsidP="00DF128A">
            <w:pPr>
              <w:widowControl w:val="0"/>
              <w:spacing w:line="276" w:lineRule="auto"/>
              <w:ind w:firstLine="709"/>
              <w:jc w:val="both"/>
              <w:rPr>
                <w:rFonts w:cstheme="minorHAnsi"/>
                <w:b/>
                <w:bCs/>
                <w:sz w:val="20"/>
                <w:szCs w:val="20"/>
              </w:rPr>
            </w:pPr>
          </w:p>
        </w:tc>
        <w:tc>
          <w:tcPr>
            <w:tcW w:w="1316" w:type="dxa"/>
            <w:vMerge/>
            <w:tcBorders>
              <w:top w:val="single" w:sz="12" w:space="0" w:color="auto"/>
              <w:left w:val="single" w:sz="4" w:space="0" w:color="auto"/>
              <w:bottom w:val="double" w:sz="6" w:space="0" w:color="000000"/>
              <w:right w:val="single" w:sz="12" w:space="0" w:color="auto"/>
            </w:tcBorders>
            <w:shd w:val="clear" w:color="auto" w:fill="auto"/>
            <w:vAlign w:val="center"/>
          </w:tcPr>
          <w:p w:rsidR="00DF128A" w:rsidRPr="00A80C9E" w:rsidRDefault="00DF128A" w:rsidP="00DF128A">
            <w:pPr>
              <w:widowControl w:val="0"/>
              <w:spacing w:line="276" w:lineRule="auto"/>
              <w:ind w:firstLine="709"/>
              <w:jc w:val="both"/>
              <w:rPr>
                <w:rFonts w:cstheme="minorHAnsi"/>
                <w:b/>
                <w:bCs/>
                <w:sz w:val="20"/>
                <w:szCs w:val="20"/>
              </w:rPr>
            </w:pPr>
          </w:p>
        </w:tc>
        <w:tc>
          <w:tcPr>
            <w:tcW w:w="1316" w:type="dxa"/>
            <w:vMerge/>
            <w:tcBorders>
              <w:top w:val="double" w:sz="6" w:space="0" w:color="000000"/>
              <w:left w:val="single" w:sz="12" w:space="0" w:color="auto"/>
              <w:bottom w:val="single" w:sz="12" w:space="0" w:color="000000"/>
              <w:right w:val="single" w:sz="4" w:space="0" w:color="auto"/>
            </w:tcBorders>
            <w:shd w:val="clear" w:color="auto" w:fill="auto"/>
            <w:vAlign w:val="center"/>
          </w:tcPr>
          <w:p w:rsidR="00DF128A" w:rsidRPr="00A80C9E" w:rsidRDefault="00DF128A" w:rsidP="00DF128A">
            <w:pPr>
              <w:widowControl w:val="0"/>
              <w:spacing w:line="276" w:lineRule="auto"/>
              <w:ind w:firstLine="709"/>
              <w:jc w:val="both"/>
              <w:rPr>
                <w:rFonts w:cstheme="minorHAnsi"/>
                <w:b/>
                <w:bCs/>
                <w:sz w:val="20"/>
                <w:szCs w:val="20"/>
              </w:rPr>
            </w:pPr>
          </w:p>
        </w:tc>
        <w:tc>
          <w:tcPr>
            <w:tcW w:w="1316" w:type="dxa"/>
            <w:vMerge/>
            <w:tcBorders>
              <w:top w:val="single" w:sz="12" w:space="0" w:color="auto"/>
              <w:left w:val="single" w:sz="4" w:space="0" w:color="auto"/>
              <w:bottom w:val="double" w:sz="6" w:space="0" w:color="000000"/>
              <w:right w:val="single" w:sz="4" w:space="0" w:color="auto"/>
            </w:tcBorders>
            <w:shd w:val="clear" w:color="auto" w:fill="auto"/>
            <w:vAlign w:val="center"/>
          </w:tcPr>
          <w:p w:rsidR="00DF128A" w:rsidRPr="00A80C9E" w:rsidRDefault="00DF128A" w:rsidP="00DF128A">
            <w:pPr>
              <w:widowControl w:val="0"/>
              <w:spacing w:line="276" w:lineRule="auto"/>
              <w:ind w:firstLine="709"/>
              <w:jc w:val="both"/>
              <w:rPr>
                <w:rFonts w:cstheme="minorHAnsi"/>
                <w:b/>
                <w:bCs/>
                <w:sz w:val="20"/>
                <w:szCs w:val="20"/>
              </w:rPr>
            </w:pPr>
          </w:p>
        </w:tc>
        <w:tc>
          <w:tcPr>
            <w:tcW w:w="1316" w:type="dxa"/>
            <w:vMerge/>
            <w:tcBorders>
              <w:top w:val="single" w:sz="12" w:space="0" w:color="auto"/>
              <w:left w:val="single" w:sz="4" w:space="0" w:color="auto"/>
              <w:bottom w:val="double" w:sz="6" w:space="0" w:color="000000"/>
              <w:right w:val="single" w:sz="18" w:space="0" w:color="auto"/>
            </w:tcBorders>
            <w:shd w:val="clear" w:color="auto" w:fill="auto"/>
            <w:vAlign w:val="center"/>
          </w:tcPr>
          <w:p w:rsidR="00DF128A" w:rsidRPr="00A80C9E" w:rsidRDefault="00DF128A" w:rsidP="00DF128A">
            <w:pPr>
              <w:widowControl w:val="0"/>
              <w:spacing w:line="276" w:lineRule="auto"/>
              <w:ind w:firstLine="709"/>
              <w:jc w:val="both"/>
              <w:rPr>
                <w:rFonts w:cstheme="minorHAnsi"/>
                <w:b/>
                <w:bCs/>
                <w:sz w:val="20"/>
                <w:szCs w:val="20"/>
              </w:rPr>
            </w:pPr>
          </w:p>
        </w:tc>
      </w:tr>
      <w:tr w:rsidR="00DF128A" w:rsidRPr="00DF128A" w:rsidTr="00DF128A">
        <w:trPr>
          <w:trHeight w:val="270"/>
        </w:trPr>
        <w:tc>
          <w:tcPr>
            <w:tcW w:w="1316" w:type="dxa"/>
            <w:vMerge w:val="restart"/>
            <w:tcBorders>
              <w:top w:val="nil"/>
              <w:left w:val="single" w:sz="18" w:space="0" w:color="auto"/>
              <w:bottom w:val="single" w:sz="12" w:space="0" w:color="000000"/>
              <w:right w:val="single" w:sz="4" w:space="0" w:color="auto"/>
            </w:tcBorders>
            <w:shd w:val="clear" w:color="auto" w:fill="969696"/>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 </w:t>
            </w:r>
          </w:p>
        </w:tc>
        <w:tc>
          <w:tcPr>
            <w:tcW w:w="1316" w:type="dxa"/>
            <w:tcBorders>
              <w:top w:val="nil"/>
              <w:left w:val="nil"/>
              <w:bottom w:val="single" w:sz="4" w:space="0" w:color="auto"/>
              <w:right w:val="single" w:sz="4"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A</w:t>
            </w:r>
          </w:p>
        </w:tc>
        <w:tc>
          <w:tcPr>
            <w:tcW w:w="1316"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spacing w:line="276" w:lineRule="auto"/>
              <w:jc w:val="both"/>
              <w:rPr>
                <w:rFonts w:cstheme="minorHAnsi"/>
                <w:sz w:val="20"/>
                <w:szCs w:val="20"/>
              </w:rPr>
            </w:pPr>
            <w:r w:rsidRPr="00A80C9E">
              <w:rPr>
                <w:rFonts w:cstheme="minorHAnsi"/>
                <w:sz w:val="20"/>
                <w:szCs w:val="20"/>
              </w:rPr>
              <w:t>2 200 000</w:t>
            </w:r>
          </w:p>
        </w:tc>
        <w:tc>
          <w:tcPr>
            <w:tcW w:w="1316" w:type="dxa"/>
            <w:tcBorders>
              <w:top w:val="nil"/>
              <w:left w:val="nil"/>
              <w:bottom w:val="single" w:sz="4" w:space="0" w:color="auto"/>
              <w:right w:val="single" w:sz="12"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75</w:t>
            </w:r>
          </w:p>
        </w:tc>
        <w:tc>
          <w:tcPr>
            <w:tcW w:w="1316" w:type="dxa"/>
            <w:vMerge w:val="restart"/>
            <w:tcBorders>
              <w:top w:val="double" w:sz="6" w:space="0" w:color="000000"/>
              <w:left w:val="single" w:sz="12" w:space="0" w:color="auto"/>
              <w:bottom w:val="single" w:sz="12" w:space="0" w:color="000000"/>
              <w:right w:val="single" w:sz="4" w:space="0" w:color="auto"/>
            </w:tcBorders>
            <w:shd w:val="clear" w:color="auto" w:fill="969696"/>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 </w:t>
            </w:r>
          </w:p>
        </w:tc>
        <w:tc>
          <w:tcPr>
            <w:tcW w:w="1316"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spacing w:line="276" w:lineRule="auto"/>
              <w:jc w:val="both"/>
              <w:rPr>
                <w:rFonts w:cstheme="minorHAnsi"/>
                <w:sz w:val="20"/>
                <w:szCs w:val="20"/>
              </w:rPr>
            </w:pPr>
            <w:r w:rsidRPr="00A80C9E">
              <w:rPr>
                <w:rFonts w:cstheme="minorHAnsi"/>
                <w:sz w:val="20"/>
                <w:szCs w:val="20"/>
              </w:rPr>
              <w:t>2 200 000</w:t>
            </w:r>
          </w:p>
        </w:tc>
        <w:tc>
          <w:tcPr>
            <w:tcW w:w="1316" w:type="dxa"/>
            <w:tcBorders>
              <w:top w:val="nil"/>
              <w:left w:val="nil"/>
              <w:bottom w:val="single" w:sz="4" w:space="0" w:color="auto"/>
              <w:right w:val="single" w:sz="18"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75</w:t>
            </w:r>
          </w:p>
        </w:tc>
      </w:tr>
      <w:tr w:rsidR="00DF128A" w:rsidRPr="00DF128A" w:rsidTr="00DF128A">
        <w:trPr>
          <w:trHeight w:val="255"/>
        </w:trPr>
        <w:tc>
          <w:tcPr>
            <w:tcW w:w="1316" w:type="dxa"/>
            <w:vMerge/>
            <w:tcBorders>
              <w:top w:val="nil"/>
              <w:left w:val="single" w:sz="18" w:space="0" w:color="auto"/>
              <w:bottom w:val="single" w:sz="12" w:space="0" w:color="000000"/>
              <w:right w:val="single" w:sz="4" w:space="0" w:color="auto"/>
            </w:tcBorders>
            <w:shd w:val="clear" w:color="auto" w:fill="auto"/>
            <w:vAlign w:val="center"/>
          </w:tcPr>
          <w:p w:rsidR="00DF128A" w:rsidRPr="00A80C9E" w:rsidRDefault="00DF128A" w:rsidP="00DF128A">
            <w:pPr>
              <w:widowControl w:val="0"/>
              <w:spacing w:line="276" w:lineRule="auto"/>
              <w:ind w:firstLine="709"/>
              <w:jc w:val="both"/>
              <w:rPr>
                <w:rFonts w:cstheme="minorHAnsi"/>
                <w:sz w:val="20"/>
                <w:szCs w:val="20"/>
              </w:rPr>
            </w:pPr>
          </w:p>
        </w:tc>
        <w:tc>
          <w:tcPr>
            <w:tcW w:w="1316" w:type="dxa"/>
            <w:tcBorders>
              <w:top w:val="nil"/>
              <w:left w:val="nil"/>
              <w:bottom w:val="single" w:sz="4" w:space="0" w:color="auto"/>
              <w:right w:val="single" w:sz="4"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B</w:t>
            </w:r>
          </w:p>
        </w:tc>
        <w:tc>
          <w:tcPr>
            <w:tcW w:w="1316"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spacing w:line="276" w:lineRule="auto"/>
              <w:jc w:val="both"/>
              <w:rPr>
                <w:rFonts w:cstheme="minorHAnsi"/>
                <w:sz w:val="20"/>
                <w:szCs w:val="20"/>
              </w:rPr>
            </w:pPr>
            <w:r w:rsidRPr="00A80C9E">
              <w:rPr>
                <w:rFonts w:cstheme="minorHAnsi"/>
                <w:sz w:val="20"/>
                <w:szCs w:val="20"/>
              </w:rPr>
              <w:t>353 000</w:t>
            </w:r>
          </w:p>
        </w:tc>
        <w:tc>
          <w:tcPr>
            <w:tcW w:w="1316" w:type="dxa"/>
            <w:tcBorders>
              <w:top w:val="nil"/>
              <w:left w:val="nil"/>
              <w:bottom w:val="single" w:sz="4" w:space="0" w:color="auto"/>
              <w:right w:val="single" w:sz="12"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75</w:t>
            </w:r>
          </w:p>
        </w:tc>
        <w:tc>
          <w:tcPr>
            <w:tcW w:w="1316" w:type="dxa"/>
            <w:vMerge/>
            <w:tcBorders>
              <w:top w:val="double" w:sz="6" w:space="0" w:color="000000"/>
              <w:left w:val="single" w:sz="12" w:space="0" w:color="auto"/>
              <w:bottom w:val="single" w:sz="12" w:space="0" w:color="000000"/>
              <w:right w:val="single" w:sz="4" w:space="0" w:color="auto"/>
            </w:tcBorders>
            <w:shd w:val="clear" w:color="auto" w:fill="auto"/>
            <w:vAlign w:val="center"/>
          </w:tcPr>
          <w:p w:rsidR="00DF128A" w:rsidRPr="00A80C9E" w:rsidRDefault="00DF128A" w:rsidP="00DF128A">
            <w:pPr>
              <w:widowControl w:val="0"/>
              <w:spacing w:line="276" w:lineRule="auto"/>
              <w:ind w:firstLine="709"/>
              <w:jc w:val="both"/>
              <w:rPr>
                <w:rFonts w:cstheme="minorHAnsi"/>
                <w:sz w:val="20"/>
                <w:szCs w:val="20"/>
              </w:rPr>
            </w:pPr>
          </w:p>
        </w:tc>
        <w:tc>
          <w:tcPr>
            <w:tcW w:w="1316"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spacing w:line="276" w:lineRule="auto"/>
              <w:jc w:val="both"/>
              <w:rPr>
                <w:rFonts w:cstheme="minorHAnsi"/>
                <w:sz w:val="20"/>
                <w:szCs w:val="20"/>
              </w:rPr>
            </w:pPr>
            <w:r w:rsidRPr="00A80C9E">
              <w:rPr>
                <w:rFonts w:cstheme="minorHAnsi"/>
                <w:sz w:val="20"/>
                <w:szCs w:val="20"/>
              </w:rPr>
              <w:t>453 000</w:t>
            </w:r>
          </w:p>
        </w:tc>
        <w:tc>
          <w:tcPr>
            <w:tcW w:w="1316" w:type="dxa"/>
            <w:tcBorders>
              <w:top w:val="nil"/>
              <w:left w:val="nil"/>
              <w:bottom w:val="single" w:sz="4" w:space="0" w:color="auto"/>
              <w:right w:val="single" w:sz="18"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0</w:t>
            </w:r>
          </w:p>
        </w:tc>
      </w:tr>
      <w:tr w:rsidR="00DF128A" w:rsidRPr="00DF128A" w:rsidTr="00DF128A">
        <w:trPr>
          <w:trHeight w:val="270"/>
        </w:trPr>
        <w:tc>
          <w:tcPr>
            <w:tcW w:w="1316" w:type="dxa"/>
            <w:vMerge/>
            <w:tcBorders>
              <w:top w:val="nil"/>
              <w:left w:val="single" w:sz="18" w:space="0" w:color="auto"/>
              <w:bottom w:val="single" w:sz="18" w:space="0" w:color="auto"/>
              <w:right w:val="single" w:sz="4" w:space="0" w:color="auto"/>
            </w:tcBorders>
            <w:shd w:val="clear" w:color="auto" w:fill="auto"/>
            <w:vAlign w:val="center"/>
          </w:tcPr>
          <w:p w:rsidR="00DF128A" w:rsidRPr="00A80C9E" w:rsidRDefault="00DF128A" w:rsidP="00DF128A">
            <w:pPr>
              <w:widowControl w:val="0"/>
              <w:spacing w:line="276" w:lineRule="auto"/>
              <w:ind w:firstLine="709"/>
              <w:jc w:val="both"/>
              <w:rPr>
                <w:rFonts w:cstheme="minorHAnsi"/>
                <w:sz w:val="20"/>
                <w:szCs w:val="20"/>
              </w:rPr>
            </w:pPr>
          </w:p>
        </w:tc>
        <w:tc>
          <w:tcPr>
            <w:tcW w:w="1316" w:type="dxa"/>
            <w:tcBorders>
              <w:top w:val="nil"/>
              <w:left w:val="nil"/>
              <w:bottom w:val="single" w:sz="18" w:space="0" w:color="auto"/>
              <w:right w:val="single" w:sz="4"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C</w:t>
            </w:r>
          </w:p>
        </w:tc>
        <w:tc>
          <w:tcPr>
            <w:tcW w:w="1316" w:type="dxa"/>
            <w:tcBorders>
              <w:top w:val="nil"/>
              <w:left w:val="nil"/>
              <w:bottom w:val="single" w:sz="18" w:space="0" w:color="auto"/>
              <w:right w:val="single" w:sz="4" w:space="0" w:color="auto"/>
            </w:tcBorders>
            <w:shd w:val="clear" w:color="auto" w:fill="auto"/>
            <w:noWrap/>
            <w:vAlign w:val="bottom"/>
          </w:tcPr>
          <w:p w:rsidR="00DF128A" w:rsidRPr="00A80C9E" w:rsidRDefault="00DF128A" w:rsidP="00A80C9E">
            <w:pPr>
              <w:widowControl w:val="0"/>
              <w:spacing w:line="276" w:lineRule="auto"/>
              <w:jc w:val="both"/>
              <w:rPr>
                <w:rFonts w:cstheme="minorHAnsi"/>
                <w:sz w:val="20"/>
                <w:szCs w:val="20"/>
              </w:rPr>
            </w:pPr>
            <w:r w:rsidRPr="00A80C9E">
              <w:rPr>
                <w:rFonts w:cstheme="minorHAnsi"/>
                <w:sz w:val="20"/>
                <w:szCs w:val="20"/>
              </w:rPr>
              <w:t>850 000</w:t>
            </w:r>
          </w:p>
        </w:tc>
        <w:tc>
          <w:tcPr>
            <w:tcW w:w="1316" w:type="dxa"/>
            <w:tcBorders>
              <w:top w:val="nil"/>
              <w:left w:val="nil"/>
              <w:bottom w:val="single" w:sz="18" w:space="0" w:color="auto"/>
              <w:right w:val="single" w:sz="12"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0</w:t>
            </w:r>
          </w:p>
        </w:tc>
        <w:tc>
          <w:tcPr>
            <w:tcW w:w="1316" w:type="dxa"/>
            <w:vMerge/>
            <w:tcBorders>
              <w:top w:val="double" w:sz="6" w:space="0" w:color="000000"/>
              <w:left w:val="single" w:sz="12" w:space="0" w:color="auto"/>
              <w:bottom w:val="single" w:sz="18" w:space="0" w:color="auto"/>
              <w:right w:val="single" w:sz="4" w:space="0" w:color="auto"/>
            </w:tcBorders>
            <w:shd w:val="clear" w:color="auto" w:fill="auto"/>
            <w:vAlign w:val="center"/>
          </w:tcPr>
          <w:p w:rsidR="00DF128A" w:rsidRPr="00A80C9E" w:rsidRDefault="00DF128A" w:rsidP="00DF128A">
            <w:pPr>
              <w:widowControl w:val="0"/>
              <w:spacing w:line="276" w:lineRule="auto"/>
              <w:ind w:firstLine="709"/>
              <w:jc w:val="both"/>
              <w:rPr>
                <w:rFonts w:cstheme="minorHAnsi"/>
                <w:sz w:val="20"/>
                <w:szCs w:val="20"/>
              </w:rPr>
            </w:pPr>
          </w:p>
        </w:tc>
        <w:tc>
          <w:tcPr>
            <w:tcW w:w="1316" w:type="dxa"/>
            <w:tcBorders>
              <w:top w:val="nil"/>
              <w:left w:val="nil"/>
              <w:bottom w:val="single" w:sz="18" w:space="0" w:color="auto"/>
              <w:right w:val="single" w:sz="4" w:space="0" w:color="auto"/>
            </w:tcBorders>
            <w:shd w:val="clear" w:color="auto" w:fill="auto"/>
            <w:noWrap/>
            <w:vAlign w:val="bottom"/>
          </w:tcPr>
          <w:p w:rsidR="00DF128A" w:rsidRPr="00A80C9E" w:rsidRDefault="00DF128A" w:rsidP="00A80C9E">
            <w:pPr>
              <w:widowControl w:val="0"/>
              <w:spacing w:line="276" w:lineRule="auto"/>
              <w:jc w:val="both"/>
              <w:rPr>
                <w:rFonts w:cstheme="minorHAnsi"/>
                <w:sz w:val="20"/>
                <w:szCs w:val="20"/>
              </w:rPr>
            </w:pPr>
            <w:r w:rsidRPr="00A80C9E">
              <w:rPr>
                <w:rFonts w:cstheme="minorHAnsi"/>
                <w:sz w:val="20"/>
                <w:szCs w:val="20"/>
              </w:rPr>
              <w:t>750 000</w:t>
            </w:r>
          </w:p>
        </w:tc>
        <w:tc>
          <w:tcPr>
            <w:tcW w:w="1316" w:type="dxa"/>
            <w:tcBorders>
              <w:top w:val="nil"/>
              <w:left w:val="nil"/>
              <w:bottom w:val="single" w:sz="18" w:space="0" w:color="auto"/>
              <w:right w:val="single" w:sz="18"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0</w:t>
            </w:r>
          </w:p>
        </w:tc>
      </w:tr>
    </w:tbl>
    <w:p w:rsidR="00DF128A" w:rsidRPr="00DF128A" w:rsidRDefault="00DF128A" w:rsidP="00A80C9E">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Zdroj: USTR,Understanding on Bananas: http://www.ustr.gov</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Země AKP spadají do skupiny C, zatímco ostatní země do skupiny B a C, zároveň se kvóty neuplatňují na jednotlivé státy, ale na celou skupinu. Jak ukazuje tabulka, zatím šlo spíše o kosmetické úpravy, EU spíše ukázala svou ochotu k jednání a přehodnocení preferencí. Od ledna 2006 začal platit nový režim, který omezuje kvantitativní omezení, ale zvyšuje celní sazby pro země mimo režim ACP ze 75 euro na 176 euro za tunu. (P</w:t>
      </w:r>
      <w:r w:rsidR="00567FA7">
        <w:rPr>
          <w:rFonts w:ascii="Times New Roman" w:hAnsi="Times New Roman" w:cs="Times New Roman"/>
          <w:sz w:val="24"/>
          <w:szCs w:val="24"/>
        </w:rPr>
        <w:t>enn</w:t>
      </w:r>
      <w:r w:rsidRPr="00DF128A">
        <w:rPr>
          <w:rFonts w:ascii="Times New Roman" w:hAnsi="Times New Roman" w:cs="Times New Roman"/>
          <w:sz w:val="24"/>
          <w:szCs w:val="24"/>
        </w:rPr>
        <w:t xml:space="preserve"> 2007)</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A80C9E">
      <w:pPr>
        <w:widowControl w:val="0"/>
        <w:autoSpaceDE w:val="0"/>
        <w:autoSpaceDN w:val="0"/>
        <w:adjustRightInd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Dopady na ekonomiku státu</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Tři velké nadnárodní korporace (Chiquita, Dole, Del Monte) kontrolují kompletní banánový byznys: vlastní plantáže, transportní lodě, skladovací zařízení pro dozrávání banánů a mají své distribuční sítě v Evropě a USA. V posledních letech se zbavují vlastnictví plantáží a produkci si smluvně zajišťují a vykupují u malých lokálních producentů. Jednoduchou fintou se takto </w:t>
      </w:r>
      <w:r w:rsidRPr="00DF128A">
        <w:rPr>
          <w:rFonts w:ascii="Times New Roman" w:hAnsi="Times New Roman" w:cs="Times New Roman"/>
          <w:i/>
          <w:sz w:val="24"/>
          <w:szCs w:val="24"/>
        </w:rPr>
        <w:t>zbavují odpovědnosti</w:t>
      </w:r>
      <w:r w:rsidRPr="00DF128A">
        <w:rPr>
          <w:rFonts w:ascii="Times New Roman" w:hAnsi="Times New Roman" w:cs="Times New Roman"/>
          <w:sz w:val="24"/>
          <w:szCs w:val="24"/>
        </w:rPr>
        <w:t xml:space="preserve"> v zemích produkce. Podle čísel z francouzského výzkumného ústavu</w:t>
      </w:r>
      <w:r w:rsidRPr="00DF128A">
        <w:rPr>
          <w:rFonts w:ascii="Times New Roman" w:hAnsi="Times New Roman" w:cs="Times New Roman"/>
          <w:color w:val="FF0080"/>
          <w:sz w:val="24"/>
          <w:szCs w:val="24"/>
        </w:rPr>
        <w:t xml:space="preserve"> </w:t>
      </w:r>
      <w:r w:rsidRPr="00DF128A">
        <w:rPr>
          <w:rFonts w:ascii="Times New Roman" w:hAnsi="Times New Roman" w:cs="Times New Roman"/>
          <w:sz w:val="24"/>
          <w:szCs w:val="24"/>
        </w:rPr>
        <w:t>CIRAD, jen 12 % konečné maloobchodní ceny zůstává v produkční zemi. Pouze 1 až 3 procenta získává pracovník na plantáži a malozemědělec získává 5–7 %. V posledních letech ovšem nadnárodní společnosti se snažily přenést přímé vlastnictví plantáží na středně velké a velké producenty v hostitelských zemích. Čímž by se přenesla zodpovědnost za pracovní sílu a životní prostředí přímo na místní producenty. (S</w:t>
      </w:r>
      <w:r w:rsidR="00567FA7">
        <w:rPr>
          <w:rFonts w:ascii="Times New Roman" w:hAnsi="Times New Roman" w:cs="Times New Roman"/>
          <w:sz w:val="24"/>
          <w:szCs w:val="24"/>
        </w:rPr>
        <w:t>ochor</w:t>
      </w:r>
      <w:r w:rsidRPr="00DF128A">
        <w:rPr>
          <w:rFonts w:ascii="Times New Roman" w:hAnsi="Times New Roman" w:cs="Times New Roman"/>
          <w:sz w:val="24"/>
          <w:szCs w:val="24"/>
        </w:rPr>
        <w:t xml:space="preserve"> 2007)</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Zabírání velkých ploch nadnárodními společnostmi (pro zakládání plantáží) mělo </w:t>
      </w:r>
      <w:r w:rsidRPr="00DF128A">
        <w:rPr>
          <w:rFonts w:ascii="Times New Roman" w:hAnsi="Times New Roman" w:cs="Times New Roman"/>
          <w:sz w:val="24"/>
          <w:szCs w:val="24"/>
        </w:rPr>
        <w:lastRenderedPageBreak/>
        <w:t xml:space="preserve">negativní účinek na tradiční hospodářská odvětví (ta většinou úplně zanikla). Lidé odcházeli ze svých zemí na plantáže, protože ta jim nabízela pracovní příležitost. Což mělo také vliv na strukturu obyvatelstva, odcházeli zejména muži a v rezidentských zemích zůstávaly jen ženy s dětmi. </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p>
    <w:p w:rsidR="00DF128A" w:rsidRPr="00DF128A" w:rsidRDefault="00DF128A" w:rsidP="00A80C9E">
      <w:pPr>
        <w:widowControl w:val="0"/>
        <w:autoSpaceDE w:val="0"/>
        <w:autoSpaceDN w:val="0"/>
        <w:adjustRightInd w:val="0"/>
        <w:spacing w:line="276" w:lineRule="auto"/>
        <w:jc w:val="both"/>
        <w:rPr>
          <w:rFonts w:ascii="Times New Roman" w:hAnsi="Times New Roman" w:cs="Times New Roman"/>
          <w:b/>
          <w:color w:val="000000"/>
          <w:sz w:val="24"/>
          <w:szCs w:val="24"/>
        </w:rPr>
      </w:pPr>
      <w:r w:rsidRPr="00DF128A">
        <w:rPr>
          <w:rFonts w:ascii="Times New Roman" w:hAnsi="Times New Roman" w:cs="Times New Roman"/>
          <w:b/>
          <w:color w:val="000000"/>
          <w:sz w:val="24"/>
          <w:szCs w:val="24"/>
        </w:rPr>
        <w:t>PRODUKČNÍ REGIONY A DOPADY</w:t>
      </w:r>
      <w:r w:rsidRPr="00DF128A">
        <w:rPr>
          <w:rStyle w:val="Znakapoznpodarou"/>
          <w:rFonts w:ascii="Times New Roman" w:hAnsi="Times New Roman" w:cs="Times New Roman"/>
          <w:color w:val="000000"/>
          <w:sz w:val="24"/>
          <w:szCs w:val="24"/>
        </w:rPr>
        <w:footnoteReference w:id="31"/>
      </w:r>
    </w:p>
    <w:p w:rsidR="00DF128A" w:rsidRPr="00DF128A" w:rsidRDefault="00DF128A" w:rsidP="00A80C9E">
      <w:pPr>
        <w:widowControl w:val="0"/>
        <w:autoSpaceDE w:val="0"/>
        <w:autoSpaceDN w:val="0"/>
        <w:adjustRightInd w:val="0"/>
        <w:spacing w:line="276" w:lineRule="auto"/>
        <w:jc w:val="both"/>
        <w:rPr>
          <w:rFonts w:ascii="Times New Roman" w:hAnsi="Times New Roman" w:cs="Times New Roman"/>
          <w:b/>
          <w:color w:val="000000"/>
          <w:sz w:val="24"/>
          <w:szCs w:val="24"/>
        </w:rPr>
      </w:pPr>
      <w:r w:rsidRPr="00DF128A">
        <w:rPr>
          <w:rFonts w:ascii="Times New Roman" w:hAnsi="Times New Roman" w:cs="Times New Roman"/>
          <w:b/>
          <w:color w:val="000000"/>
          <w:sz w:val="24"/>
          <w:szCs w:val="24"/>
        </w:rPr>
        <w:t>Latinská Amerika</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color w:val="000000"/>
          <w:sz w:val="24"/>
          <w:szCs w:val="24"/>
        </w:rPr>
      </w:pPr>
      <w:r w:rsidRPr="00DF128A">
        <w:rPr>
          <w:rFonts w:ascii="Times New Roman" w:hAnsi="Times New Roman" w:cs="Times New Roman"/>
          <w:color w:val="000000"/>
          <w:sz w:val="24"/>
          <w:szCs w:val="24"/>
        </w:rPr>
        <w:t>Latinskoamerické země exportují do USA, Kanady, Evropy, Ruska a Asijsko-pacifického regionu, často jsou nazývány „dolarové země,“ protože jejich banánový průmysl je často spojen s americkými nadnárodními společnostmi, které ovládají přímo nebo nepřímo 60 % exportu všech latinskoamerických zemí. Ovšem jsou zde i národní společnosti, které také vstupují na mezinárodní trh: Noboa/Bonita a Reybanpac/Favorita v Ekvádoru, Caribana a Acon Group v Kostarice, Uniban/Turbana a Banacol v Kolumbii.</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b/>
          <w:color w:val="000000"/>
          <w:sz w:val="24"/>
          <w:szCs w:val="24"/>
        </w:rPr>
      </w:pPr>
    </w:p>
    <w:p w:rsidR="00DF128A" w:rsidRPr="00DF128A" w:rsidRDefault="00DF128A" w:rsidP="00A80C9E">
      <w:pPr>
        <w:widowControl w:val="0"/>
        <w:autoSpaceDE w:val="0"/>
        <w:autoSpaceDN w:val="0"/>
        <w:adjustRightInd w:val="0"/>
        <w:spacing w:line="276" w:lineRule="auto"/>
        <w:jc w:val="both"/>
        <w:rPr>
          <w:rFonts w:ascii="Times New Roman" w:hAnsi="Times New Roman" w:cs="Times New Roman"/>
          <w:color w:val="000000"/>
          <w:sz w:val="24"/>
          <w:szCs w:val="24"/>
        </w:rPr>
      </w:pPr>
      <w:r w:rsidRPr="00DF128A">
        <w:rPr>
          <w:rFonts w:ascii="Times New Roman" w:hAnsi="Times New Roman" w:cs="Times New Roman"/>
          <w:b/>
          <w:color w:val="000000"/>
          <w:sz w:val="24"/>
          <w:szCs w:val="24"/>
        </w:rPr>
        <w:t>Tab. 6</w:t>
      </w:r>
      <w:r w:rsidR="00BD5839">
        <w:rPr>
          <w:rFonts w:ascii="Times New Roman" w:hAnsi="Times New Roman" w:cs="Times New Roman"/>
          <w:b/>
          <w:color w:val="000000"/>
          <w:sz w:val="24"/>
          <w:szCs w:val="24"/>
        </w:rPr>
        <w:t>:</w:t>
      </w:r>
      <w:r w:rsidRPr="00DF128A">
        <w:rPr>
          <w:rFonts w:ascii="Times New Roman" w:hAnsi="Times New Roman" w:cs="Times New Roman"/>
          <w:color w:val="000000"/>
          <w:sz w:val="24"/>
          <w:szCs w:val="24"/>
        </w:rPr>
        <w:t xml:space="preserve"> Země Latinské Ameriky</w:t>
      </w:r>
      <w:r w:rsidR="00B038A1">
        <w:rPr>
          <w:rFonts w:ascii="Times New Roman" w:hAnsi="Times New Roman" w:cs="Times New Roman"/>
          <w:color w:val="000000"/>
          <w:sz w:val="24"/>
          <w:szCs w:val="24"/>
        </w:rPr>
        <w:t>,</w:t>
      </w:r>
      <w:r w:rsidRPr="00DF128A">
        <w:rPr>
          <w:rFonts w:ascii="Times New Roman" w:hAnsi="Times New Roman" w:cs="Times New Roman"/>
          <w:color w:val="000000"/>
          <w:sz w:val="24"/>
          <w:szCs w:val="24"/>
        </w:rPr>
        <w:t xml:space="preserve"> jenž vyvážejí banány (v tis. t) v roce 2000 a 2004.</w:t>
      </w:r>
    </w:p>
    <w:tbl>
      <w:tblPr>
        <w:tblW w:w="5000" w:type="pct"/>
        <w:tblInd w:w="55" w:type="dxa"/>
        <w:tblCellMar>
          <w:left w:w="70" w:type="dxa"/>
          <w:right w:w="70" w:type="dxa"/>
        </w:tblCellMar>
        <w:tblLook w:val="0000" w:firstRow="0" w:lastRow="0" w:firstColumn="0" w:lastColumn="0" w:noHBand="0" w:noVBand="0"/>
      </w:tblPr>
      <w:tblGrid>
        <w:gridCol w:w="4508"/>
        <w:gridCol w:w="2352"/>
        <w:gridCol w:w="2352"/>
      </w:tblGrid>
      <w:tr w:rsidR="00DF128A" w:rsidRPr="00DF128A" w:rsidTr="00DF128A">
        <w:trPr>
          <w:trHeight w:val="450"/>
        </w:trPr>
        <w:tc>
          <w:tcPr>
            <w:tcW w:w="1840" w:type="dxa"/>
            <w:tcBorders>
              <w:top w:val="single" w:sz="18" w:space="0" w:color="auto"/>
              <w:left w:val="single" w:sz="18" w:space="0" w:color="auto"/>
              <w:bottom w:val="double" w:sz="6" w:space="0" w:color="auto"/>
              <w:right w:val="double" w:sz="6" w:space="0" w:color="auto"/>
            </w:tcBorders>
            <w:shd w:val="clear" w:color="auto" w:fill="969696"/>
            <w:noWrap/>
            <w:vAlign w:val="center"/>
          </w:tcPr>
          <w:p w:rsidR="00DF128A" w:rsidRPr="00A80C9E" w:rsidRDefault="00DF128A" w:rsidP="00DF128A">
            <w:pPr>
              <w:widowControl w:val="0"/>
              <w:spacing w:line="276" w:lineRule="auto"/>
              <w:ind w:firstLine="709"/>
              <w:jc w:val="both"/>
              <w:rPr>
                <w:rFonts w:cstheme="minorHAnsi"/>
                <w:b/>
                <w:bCs/>
                <w:sz w:val="20"/>
                <w:szCs w:val="20"/>
              </w:rPr>
            </w:pPr>
            <w:r w:rsidRPr="00A80C9E">
              <w:rPr>
                <w:rFonts w:cstheme="minorHAnsi"/>
                <w:b/>
                <w:bCs/>
                <w:sz w:val="20"/>
                <w:szCs w:val="20"/>
              </w:rPr>
              <w:t>Stát</w:t>
            </w:r>
          </w:p>
        </w:tc>
        <w:tc>
          <w:tcPr>
            <w:tcW w:w="960" w:type="dxa"/>
            <w:tcBorders>
              <w:top w:val="single" w:sz="18" w:space="0" w:color="auto"/>
              <w:left w:val="double" w:sz="6" w:space="0" w:color="auto"/>
              <w:bottom w:val="double" w:sz="6" w:space="0" w:color="auto"/>
              <w:right w:val="single" w:sz="4" w:space="0" w:color="auto"/>
            </w:tcBorders>
            <w:shd w:val="clear" w:color="auto" w:fill="969696"/>
            <w:noWrap/>
            <w:vAlign w:val="center"/>
          </w:tcPr>
          <w:p w:rsidR="00DF128A" w:rsidRPr="00A80C9E" w:rsidRDefault="00DF128A" w:rsidP="00DF128A">
            <w:pPr>
              <w:widowControl w:val="0"/>
              <w:spacing w:line="276" w:lineRule="auto"/>
              <w:ind w:firstLine="709"/>
              <w:jc w:val="both"/>
              <w:rPr>
                <w:rFonts w:cstheme="minorHAnsi"/>
                <w:b/>
                <w:bCs/>
                <w:sz w:val="20"/>
                <w:szCs w:val="20"/>
              </w:rPr>
            </w:pPr>
            <w:r w:rsidRPr="00A80C9E">
              <w:rPr>
                <w:rFonts w:cstheme="minorHAnsi"/>
                <w:b/>
                <w:bCs/>
                <w:sz w:val="20"/>
                <w:szCs w:val="20"/>
              </w:rPr>
              <w:t>2000</w:t>
            </w:r>
          </w:p>
        </w:tc>
        <w:tc>
          <w:tcPr>
            <w:tcW w:w="960" w:type="dxa"/>
            <w:tcBorders>
              <w:top w:val="single" w:sz="18" w:space="0" w:color="auto"/>
              <w:left w:val="nil"/>
              <w:bottom w:val="double" w:sz="6" w:space="0" w:color="auto"/>
              <w:right w:val="single" w:sz="18" w:space="0" w:color="auto"/>
            </w:tcBorders>
            <w:shd w:val="clear" w:color="auto" w:fill="969696"/>
            <w:noWrap/>
            <w:vAlign w:val="center"/>
          </w:tcPr>
          <w:p w:rsidR="00DF128A" w:rsidRPr="00A80C9E" w:rsidRDefault="00DF128A" w:rsidP="00DF128A">
            <w:pPr>
              <w:widowControl w:val="0"/>
              <w:spacing w:line="276" w:lineRule="auto"/>
              <w:ind w:firstLine="709"/>
              <w:jc w:val="both"/>
              <w:rPr>
                <w:rFonts w:cstheme="minorHAnsi"/>
                <w:b/>
                <w:bCs/>
                <w:sz w:val="20"/>
                <w:szCs w:val="20"/>
              </w:rPr>
            </w:pPr>
            <w:r w:rsidRPr="00A80C9E">
              <w:rPr>
                <w:rFonts w:cstheme="minorHAnsi"/>
                <w:b/>
                <w:bCs/>
                <w:sz w:val="20"/>
                <w:szCs w:val="20"/>
              </w:rPr>
              <w:t>2004</w:t>
            </w:r>
          </w:p>
        </w:tc>
      </w:tr>
      <w:tr w:rsidR="00DF128A" w:rsidRPr="00DF128A" w:rsidTr="00DF128A">
        <w:trPr>
          <w:trHeight w:val="270"/>
        </w:trPr>
        <w:tc>
          <w:tcPr>
            <w:tcW w:w="1840" w:type="dxa"/>
            <w:tcBorders>
              <w:top w:val="nil"/>
              <w:left w:val="single" w:sz="18" w:space="0" w:color="auto"/>
              <w:bottom w:val="single" w:sz="4"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Kostarika</w:t>
            </w:r>
          </w:p>
        </w:tc>
        <w:tc>
          <w:tcPr>
            <w:tcW w:w="960" w:type="dxa"/>
            <w:tcBorders>
              <w:top w:val="nil"/>
              <w:left w:val="double" w:sz="6" w:space="0" w:color="auto"/>
              <w:bottom w:val="single" w:sz="4"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1,883</w:t>
            </w:r>
          </w:p>
        </w:tc>
        <w:tc>
          <w:tcPr>
            <w:tcW w:w="960" w:type="dxa"/>
            <w:tcBorders>
              <w:top w:val="nil"/>
              <w:left w:val="nil"/>
              <w:bottom w:val="single" w:sz="4"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1,793</w:t>
            </w:r>
          </w:p>
        </w:tc>
      </w:tr>
      <w:tr w:rsidR="00DF128A" w:rsidRPr="00DF128A" w:rsidTr="00DF128A">
        <w:trPr>
          <w:trHeight w:val="270"/>
        </w:trPr>
        <w:tc>
          <w:tcPr>
            <w:tcW w:w="1840" w:type="dxa"/>
            <w:tcBorders>
              <w:top w:val="nil"/>
              <w:left w:val="single" w:sz="18" w:space="0" w:color="auto"/>
              <w:bottom w:val="single" w:sz="4"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Kolumbie</w:t>
            </w:r>
          </w:p>
        </w:tc>
        <w:tc>
          <w:tcPr>
            <w:tcW w:w="960" w:type="dxa"/>
            <w:tcBorders>
              <w:top w:val="nil"/>
              <w:left w:val="double" w:sz="6" w:space="0" w:color="auto"/>
              <w:bottom w:val="single" w:sz="4"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1,68</w:t>
            </w:r>
          </w:p>
        </w:tc>
        <w:tc>
          <w:tcPr>
            <w:tcW w:w="960" w:type="dxa"/>
            <w:tcBorders>
              <w:top w:val="nil"/>
              <w:left w:val="nil"/>
              <w:bottom w:val="single" w:sz="4"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1,395</w:t>
            </w:r>
          </w:p>
        </w:tc>
      </w:tr>
      <w:tr w:rsidR="00DF128A" w:rsidRPr="00DF128A" w:rsidTr="00DF128A">
        <w:trPr>
          <w:trHeight w:val="270"/>
        </w:trPr>
        <w:tc>
          <w:tcPr>
            <w:tcW w:w="1840" w:type="dxa"/>
            <w:tcBorders>
              <w:top w:val="nil"/>
              <w:left w:val="single" w:sz="18" w:space="0" w:color="auto"/>
              <w:bottom w:val="single" w:sz="4"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Ekvádor</w:t>
            </w:r>
          </w:p>
        </w:tc>
        <w:tc>
          <w:tcPr>
            <w:tcW w:w="960" w:type="dxa"/>
            <w:tcBorders>
              <w:top w:val="nil"/>
              <w:left w:val="double" w:sz="6" w:space="0" w:color="auto"/>
              <w:bottom w:val="single" w:sz="4"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 3,940</w:t>
            </w:r>
          </w:p>
        </w:tc>
        <w:tc>
          <w:tcPr>
            <w:tcW w:w="960" w:type="dxa"/>
            <w:tcBorders>
              <w:top w:val="nil"/>
              <w:left w:val="nil"/>
              <w:bottom w:val="single" w:sz="4"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 4,537</w:t>
            </w:r>
          </w:p>
        </w:tc>
      </w:tr>
      <w:tr w:rsidR="00DF128A" w:rsidRPr="00DF128A" w:rsidTr="00DF128A">
        <w:trPr>
          <w:trHeight w:val="270"/>
        </w:trPr>
        <w:tc>
          <w:tcPr>
            <w:tcW w:w="1840" w:type="dxa"/>
            <w:tcBorders>
              <w:top w:val="nil"/>
              <w:left w:val="single" w:sz="18" w:space="0" w:color="auto"/>
              <w:bottom w:val="single" w:sz="4"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Guatemala</w:t>
            </w:r>
          </w:p>
        </w:tc>
        <w:tc>
          <w:tcPr>
            <w:tcW w:w="960" w:type="dxa"/>
            <w:tcBorders>
              <w:top w:val="nil"/>
              <w:left w:val="double" w:sz="6" w:space="0" w:color="auto"/>
              <w:bottom w:val="single" w:sz="4"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801</w:t>
            </w:r>
          </w:p>
        </w:tc>
        <w:tc>
          <w:tcPr>
            <w:tcW w:w="960" w:type="dxa"/>
            <w:tcBorders>
              <w:top w:val="nil"/>
              <w:left w:val="nil"/>
              <w:bottom w:val="single" w:sz="4"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1,058</w:t>
            </w:r>
          </w:p>
        </w:tc>
      </w:tr>
      <w:tr w:rsidR="00DF128A" w:rsidRPr="00DF128A" w:rsidTr="00DF128A">
        <w:trPr>
          <w:trHeight w:val="270"/>
        </w:trPr>
        <w:tc>
          <w:tcPr>
            <w:tcW w:w="1840" w:type="dxa"/>
            <w:tcBorders>
              <w:top w:val="nil"/>
              <w:left w:val="single" w:sz="18" w:space="0" w:color="auto"/>
              <w:bottom w:val="single" w:sz="4"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Panama</w:t>
            </w:r>
          </w:p>
        </w:tc>
        <w:tc>
          <w:tcPr>
            <w:tcW w:w="960" w:type="dxa"/>
            <w:tcBorders>
              <w:top w:val="nil"/>
              <w:left w:val="double" w:sz="6" w:space="0" w:color="auto"/>
              <w:bottom w:val="single" w:sz="4"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489</w:t>
            </w:r>
          </w:p>
        </w:tc>
        <w:tc>
          <w:tcPr>
            <w:tcW w:w="960" w:type="dxa"/>
            <w:tcBorders>
              <w:top w:val="nil"/>
              <w:left w:val="nil"/>
              <w:bottom w:val="single" w:sz="4"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398</w:t>
            </w:r>
          </w:p>
        </w:tc>
      </w:tr>
      <w:tr w:rsidR="00DF128A" w:rsidRPr="00DF128A" w:rsidTr="00DF128A">
        <w:trPr>
          <w:trHeight w:val="270"/>
        </w:trPr>
        <w:tc>
          <w:tcPr>
            <w:tcW w:w="1840" w:type="dxa"/>
            <w:tcBorders>
              <w:top w:val="nil"/>
              <w:left w:val="single" w:sz="18" w:space="0" w:color="auto"/>
              <w:bottom w:val="single" w:sz="4"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Peru</w:t>
            </w:r>
          </w:p>
        </w:tc>
        <w:tc>
          <w:tcPr>
            <w:tcW w:w="960" w:type="dxa"/>
            <w:tcBorders>
              <w:top w:val="nil"/>
              <w:left w:val="double" w:sz="6" w:space="0" w:color="auto"/>
              <w:bottom w:val="single" w:sz="4"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0.9</w:t>
            </w:r>
          </w:p>
        </w:tc>
        <w:tc>
          <w:tcPr>
            <w:tcW w:w="960" w:type="dxa"/>
            <w:tcBorders>
              <w:top w:val="nil"/>
              <w:left w:val="nil"/>
              <w:bottom w:val="single" w:sz="4"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 27</w:t>
            </w:r>
          </w:p>
        </w:tc>
      </w:tr>
      <w:tr w:rsidR="00DF128A" w:rsidRPr="00DF128A" w:rsidTr="00DF128A">
        <w:trPr>
          <w:trHeight w:val="270"/>
        </w:trPr>
        <w:tc>
          <w:tcPr>
            <w:tcW w:w="1840" w:type="dxa"/>
            <w:tcBorders>
              <w:top w:val="nil"/>
              <w:left w:val="single" w:sz="18" w:space="0" w:color="auto"/>
              <w:bottom w:val="single" w:sz="4"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Mexiko</w:t>
            </w:r>
          </w:p>
        </w:tc>
        <w:tc>
          <w:tcPr>
            <w:tcW w:w="960" w:type="dxa"/>
            <w:tcBorders>
              <w:top w:val="nil"/>
              <w:left w:val="double" w:sz="6" w:space="0" w:color="auto"/>
              <w:bottom w:val="single" w:sz="4"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46</w:t>
            </w:r>
          </w:p>
        </w:tc>
        <w:tc>
          <w:tcPr>
            <w:tcW w:w="960" w:type="dxa"/>
            <w:tcBorders>
              <w:top w:val="nil"/>
              <w:left w:val="nil"/>
              <w:bottom w:val="single" w:sz="4"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46</w:t>
            </w:r>
          </w:p>
        </w:tc>
      </w:tr>
      <w:tr w:rsidR="00DF128A" w:rsidRPr="00DF128A" w:rsidTr="00DF128A">
        <w:trPr>
          <w:trHeight w:val="270"/>
        </w:trPr>
        <w:tc>
          <w:tcPr>
            <w:tcW w:w="1840" w:type="dxa"/>
            <w:tcBorders>
              <w:top w:val="nil"/>
              <w:left w:val="single" w:sz="18" w:space="0" w:color="auto"/>
              <w:bottom w:val="single" w:sz="4"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Honduras</w:t>
            </w:r>
          </w:p>
        </w:tc>
        <w:tc>
          <w:tcPr>
            <w:tcW w:w="960" w:type="dxa"/>
            <w:tcBorders>
              <w:top w:val="nil"/>
              <w:left w:val="double" w:sz="6" w:space="0" w:color="auto"/>
              <w:bottom w:val="single" w:sz="4"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375</w:t>
            </w:r>
          </w:p>
        </w:tc>
        <w:tc>
          <w:tcPr>
            <w:tcW w:w="960" w:type="dxa"/>
            <w:tcBorders>
              <w:top w:val="nil"/>
              <w:left w:val="nil"/>
              <w:bottom w:val="single" w:sz="4"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528</w:t>
            </w:r>
          </w:p>
        </w:tc>
      </w:tr>
      <w:tr w:rsidR="00DF128A" w:rsidRPr="00DF128A" w:rsidTr="00DF128A">
        <w:trPr>
          <w:trHeight w:val="270"/>
        </w:trPr>
        <w:tc>
          <w:tcPr>
            <w:tcW w:w="1840" w:type="dxa"/>
            <w:tcBorders>
              <w:top w:val="nil"/>
              <w:left w:val="single" w:sz="18" w:space="0" w:color="auto"/>
              <w:bottom w:val="single" w:sz="4"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Venezuela</w:t>
            </w:r>
          </w:p>
        </w:tc>
        <w:tc>
          <w:tcPr>
            <w:tcW w:w="960" w:type="dxa"/>
            <w:tcBorders>
              <w:top w:val="nil"/>
              <w:left w:val="double" w:sz="6" w:space="0" w:color="auto"/>
              <w:bottom w:val="single" w:sz="4"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36</w:t>
            </w:r>
          </w:p>
        </w:tc>
        <w:tc>
          <w:tcPr>
            <w:tcW w:w="960" w:type="dxa"/>
            <w:tcBorders>
              <w:top w:val="nil"/>
              <w:left w:val="nil"/>
              <w:bottom w:val="single" w:sz="4"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36</w:t>
            </w:r>
          </w:p>
        </w:tc>
      </w:tr>
      <w:tr w:rsidR="00DF128A" w:rsidRPr="00DF128A" w:rsidTr="00DF128A">
        <w:trPr>
          <w:trHeight w:val="270"/>
        </w:trPr>
        <w:tc>
          <w:tcPr>
            <w:tcW w:w="1840" w:type="dxa"/>
            <w:tcBorders>
              <w:top w:val="nil"/>
              <w:left w:val="single" w:sz="18" w:space="0" w:color="auto"/>
              <w:bottom w:val="single" w:sz="4"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Brazílie</w:t>
            </w:r>
          </w:p>
        </w:tc>
        <w:tc>
          <w:tcPr>
            <w:tcW w:w="960" w:type="dxa"/>
            <w:tcBorders>
              <w:top w:val="nil"/>
              <w:left w:val="double" w:sz="6" w:space="0" w:color="auto"/>
              <w:bottom w:val="single" w:sz="4"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72</w:t>
            </w:r>
          </w:p>
        </w:tc>
        <w:tc>
          <w:tcPr>
            <w:tcW w:w="960" w:type="dxa"/>
            <w:tcBorders>
              <w:top w:val="nil"/>
              <w:left w:val="nil"/>
              <w:bottom w:val="single" w:sz="4"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188</w:t>
            </w:r>
          </w:p>
        </w:tc>
      </w:tr>
      <w:tr w:rsidR="00DF128A" w:rsidRPr="00DF128A" w:rsidTr="00DF128A">
        <w:trPr>
          <w:trHeight w:val="270"/>
        </w:trPr>
        <w:tc>
          <w:tcPr>
            <w:tcW w:w="1840" w:type="dxa"/>
            <w:tcBorders>
              <w:top w:val="nil"/>
              <w:left w:val="single" w:sz="18" w:space="0" w:color="auto"/>
              <w:bottom w:val="single" w:sz="12"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Nikaragua</w:t>
            </w:r>
          </w:p>
        </w:tc>
        <w:tc>
          <w:tcPr>
            <w:tcW w:w="960" w:type="dxa"/>
            <w:tcBorders>
              <w:top w:val="nil"/>
              <w:left w:val="double" w:sz="6" w:space="0" w:color="auto"/>
              <w:bottom w:val="single" w:sz="12"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46</w:t>
            </w:r>
          </w:p>
        </w:tc>
        <w:tc>
          <w:tcPr>
            <w:tcW w:w="960" w:type="dxa"/>
            <w:tcBorders>
              <w:top w:val="nil"/>
              <w:left w:val="nil"/>
              <w:bottom w:val="single" w:sz="12"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41</w:t>
            </w:r>
          </w:p>
        </w:tc>
      </w:tr>
      <w:tr w:rsidR="00DF128A" w:rsidRPr="00DF128A" w:rsidTr="00DF128A">
        <w:trPr>
          <w:trHeight w:val="270"/>
        </w:trPr>
        <w:tc>
          <w:tcPr>
            <w:tcW w:w="1840" w:type="dxa"/>
            <w:tcBorders>
              <w:top w:val="single" w:sz="12" w:space="0" w:color="auto"/>
              <w:left w:val="single" w:sz="18" w:space="0" w:color="auto"/>
              <w:bottom w:val="single" w:sz="18"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Světový export celkem</w:t>
            </w:r>
          </w:p>
        </w:tc>
        <w:tc>
          <w:tcPr>
            <w:tcW w:w="960" w:type="dxa"/>
            <w:tcBorders>
              <w:top w:val="single" w:sz="12" w:space="0" w:color="auto"/>
              <w:left w:val="double" w:sz="6" w:space="0" w:color="auto"/>
              <w:bottom w:val="single" w:sz="18"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11,922</w:t>
            </w:r>
          </w:p>
        </w:tc>
        <w:tc>
          <w:tcPr>
            <w:tcW w:w="960" w:type="dxa"/>
            <w:tcBorders>
              <w:top w:val="single" w:sz="12" w:space="0" w:color="auto"/>
              <w:left w:val="nil"/>
              <w:bottom w:val="single" w:sz="18"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12,839</w:t>
            </w:r>
          </w:p>
        </w:tc>
      </w:tr>
    </w:tbl>
    <w:p w:rsidR="00DF128A" w:rsidRPr="00DF128A" w:rsidRDefault="00DF128A" w:rsidP="00A80C9E">
      <w:pPr>
        <w:widowControl w:val="0"/>
        <w:autoSpaceDE w:val="0"/>
        <w:autoSpaceDN w:val="0"/>
        <w:adjustRightInd w:val="0"/>
        <w:spacing w:line="276" w:lineRule="auto"/>
        <w:jc w:val="both"/>
        <w:rPr>
          <w:rFonts w:ascii="Times New Roman" w:hAnsi="Times New Roman" w:cs="Times New Roman"/>
          <w:color w:val="000000"/>
          <w:sz w:val="24"/>
          <w:szCs w:val="24"/>
        </w:rPr>
      </w:pPr>
      <w:r w:rsidRPr="00DF128A">
        <w:rPr>
          <w:rFonts w:ascii="Times New Roman" w:hAnsi="Times New Roman" w:cs="Times New Roman"/>
          <w:color w:val="000000"/>
          <w:sz w:val="24"/>
          <w:szCs w:val="24"/>
        </w:rPr>
        <w:t>Zdroj: FAO Banana Statistics 2005</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color w:val="000000"/>
          <w:sz w:val="24"/>
          <w:szCs w:val="24"/>
        </w:rPr>
      </w:pP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Typicky latinskoamerická produkce vypadá asi takto: velké plantáže (přes 2 000 akrů), obvykle pouze monokulturní (pěstování jednoho druhu banánu), používání chemických látek ve velkém měřítku, čímž vzniká obrovský tlak na životní prostředí. Plantáže vyžadují investice do výstavby cest, zavlažovací a odvodňovací techniku, balící zařízení a mnoho dalších vybavení. </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Pracovní podmínky jsou obvykle velmi špatné – nízké mzdy (obvykle nestačí na živobytí), práce přes čas. Jednání o kolektivní smlouvě jsou často zakázány a odbory jsou jen v malém měřítku. V Ekvádoru již několik desetiletí neexistují žádné nezávislé banánové odborové svazy. Právě absence odborů udělala z Ekvádoru největšího vývozce banánů na světě. Jelikož náklady na produkci mohou být udržovány velice nízko, jsou ekvádorské banány na světovém trhu nabízeny jako nejlevnější. Intenzivní používání pesticidů vážně ovlivňuje zdraví pracovníků. Studie národní university Heredia v Kostarice dokumentuje, že </w:t>
      </w:r>
      <w:r w:rsidRPr="00DF128A">
        <w:rPr>
          <w:rFonts w:ascii="Times New Roman" w:hAnsi="Times New Roman" w:cs="Times New Roman"/>
          <w:sz w:val="24"/>
          <w:szCs w:val="24"/>
        </w:rPr>
        <w:lastRenderedPageBreak/>
        <w:t xml:space="preserve">v oblastech kde se pěstují banány je výskyt otravy pesticidy mnohonásobně vyšší než ve zbytku země. Dalším důsledkem používání pesticidů jsou časté případy sterility a rakoviny mezi pracovníky. </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Ekvádor, Kolumbie a Peru jsou jedny z mála zemí, ve kterých vedle nadnárodních společností působí několik </w:t>
      </w:r>
      <w:r w:rsidRPr="00DF128A">
        <w:rPr>
          <w:rFonts w:ascii="Times New Roman" w:hAnsi="Times New Roman" w:cs="Times New Roman"/>
          <w:i/>
          <w:sz w:val="24"/>
          <w:szCs w:val="24"/>
        </w:rPr>
        <w:t>tisíc malých farmářů</w:t>
      </w:r>
      <w:r w:rsidRPr="00DF128A">
        <w:rPr>
          <w:rFonts w:ascii="Times New Roman" w:hAnsi="Times New Roman" w:cs="Times New Roman"/>
          <w:sz w:val="24"/>
          <w:szCs w:val="24"/>
        </w:rPr>
        <w:t xml:space="preserve">. Tři největší banánové mezinárodní společnosti (Chiquita, Dole a Del Monte) nevlastní žádné výjimečně pouze malé pozemky. Tyto nadnárodní ovocnářské koncerny a velcí domácí exportéři uzavřeli různé dohody s jejich stálými dodavateli, od kterých pravidelně odebírají banány. Kromě toho nakupují banány jen sporadicky i od jiných dodavatelů, kteří se na ně vlivem stoupající poptávky na světovém trhu obracejí. To znamená, že se zde neuzavírají žádné nové smlouvy. 70 % producentů banánů jsou malí rolníci, 20 % jsou střední pěstitelé a 10 % jsou velké firmy. Velké firmy však kontrolují přibližně tři čtvrtě ploch a produkce. </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color w:val="000000"/>
          <w:sz w:val="24"/>
          <w:szCs w:val="24"/>
        </w:rPr>
      </w:pPr>
      <w:r w:rsidRPr="00DF128A">
        <w:rPr>
          <w:rFonts w:ascii="Times New Roman" w:hAnsi="Times New Roman" w:cs="Times New Roman"/>
          <w:sz w:val="24"/>
          <w:szCs w:val="24"/>
        </w:rPr>
        <w:t>Dopady na životní prostředí při pěstování banánů na plantážích v oblasti Latinské Ameriky jsou fatální – půdní eroze, znečištění vod, odlesňování, trvalý růst škůdců a nemocí. Zabíráním velkých ploch pro plantážnictví nadnárodními korporacemi vede k migraci původních obyvatel, dochází k zrychlenému odlesňování, zrychlené odlesňování mnohdy vede až k záplavám. Podle stránek www.pana.org</w:t>
      </w:r>
      <w:r w:rsidRPr="00DF128A">
        <w:rPr>
          <w:rFonts w:ascii="Times New Roman" w:hAnsi="Times New Roman" w:cs="Times New Roman"/>
          <w:color w:val="000000"/>
          <w:sz w:val="24"/>
          <w:szCs w:val="24"/>
        </w:rPr>
        <w:t xml:space="preserve"> v Kostarice je povoleno pro zvýšení produkce banánů použít na 280 různých pesticidů a to v průměrném množství 44</w:t>
      </w:r>
      <w:r w:rsidRPr="00DF128A">
        <w:rPr>
          <w:rFonts w:ascii="Times New Roman" w:hAnsi="Times New Roman" w:cs="Times New Roman"/>
          <w:color w:val="FF0080"/>
          <w:sz w:val="24"/>
          <w:szCs w:val="24"/>
        </w:rPr>
        <w:t xml:space="preserve"> </w:t>
      </w:r>
      <w:r w:rsidRPr="00DF128A">
        <w:rPr>
          <w:rFonts w:ascii="Times New Roman" w:hAnsi="Times New Roman" w:cs="Times New Roman"/>
          <w:sz w:val="24"/>
          <w:szCs w:val="24"/>
        </w:rPr>
        <w:t>kg</w:t>
      </w:r>
      <w:r w:rsidRPr="00DF128A">
        <w:rPr>
          <w:rFonts w:ascii="Times New Roman" w:hAnsi="Times New Roman" w:cs="Times New Roman"/>
          <w:color w:val="000000"/>
          <w:sz w:val="24"/>
          <w:szCs w:val="24"/>
        </w:rPr>
        <w:t xml:space="preserve">/ha/rok, naproti tomu ve vyspělých zemích 2,7 kg/ha/rok. </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color w:val="000000"/>
          <w:sz w:val="24"/>
          <w:szCs w:val="24"/>
        </w:rPr>
      </w:pPr>
    </w:p>
    <w:p w:rsidR="00DF128A" w:rsidRPr="00DF128A" w:rsidRDefault="00DF128A" w:rsidP="00A80C9E">
      <w:pPr>
        <w:widowControl w:val="0"/>
        <w:autoSpaceDE w:val="0"/>
        <w:autoSpaceDN w:val="0"/>
        <w:adjustRightInd w:val="0"/>
        <w:spacing w:line="276" w:lineRule="auto"/>
        <w:jc w:val="both"/>
        <w:rPr>
          <w:rFonts w:ascii="Times New Roman" w:hAnsi="Times New Roman" w:cs="Times New Roman"/>
          <w:b/>
          <w:color w:val="000000"/>
          <w:sz w:val="24"/>
          <w:szCs w:val="24"/>
        </w:rPr>
      </w:pPr>
      <w:r w:rsidRPr="00DF128A">
        <w:rPr>
          <w:rFonts w:ascii="Times New Roman" w:hAnsi="Times New Roman" w:cs="Times New Roman"/>
          <w:b/>
          <w:color w:val="000000"/>
          <w:sz w:val="24"/>
          <w:szCs w:val="24"/>
        </w:rPr>
        <w:t>Afrika</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Téměř veškeré africké země produkují významné množství banánů, ale jen některé je exportují. Prakticky všechny exporty směřují na Evropský trh. </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  </w:t>
      </w:r>
    </w:p>
    <w:p w:rsidR="00DF128A" w:rsidRPr="00DF128A" w:rsidRDefault="00DF128A" w:rsidP="00A80C9E">
      <w:pPr>
        <w:widowControl w:val="0"/>
        <w:autoSpaceDE w:val="0"/>
        <w:autoSpaceDN w:val="0"/>
        <w:adjustRightInd w:val="0"/>
        <w:spacing w:line="276" w:lineRule="auto"/>
        <w:jc w:val="both"/>
        <w:rPr>
          <w:rFonts w:ascii="Times New Roman" w:hAnsi="Times New Roman" w:cs="Times New Roman"/>
          <w:sz w:val="24"/>
          <w:szCs w:val="24"/>
        </w:rPr>
      </w:pPr>
      <w:r w:rsidRPr="00DF128A">
        <w:rPr>
          <w:rFonts w:ascii="Times New Roman" w:hAnsi="Times New Roman" w:cs="Times New Roman"/>
          <w:b/>
          <w:sz w:val="24"/>
          <w:szCs w:val="24"/>
        </w:rPr>
        <w:t>Tab. 7.</w:t>
      </w:r>
      <w:r w:rsidRPr="00DF128A">
        <w:rPr>
          <w:rFonts w:ascii="Times New Roman" w:hAnsi="Times New Roman" w:cs="Times New Roman"/>
          <w:sz w:val="24"/>
          <w:szCs w:val="24"/>
        </w:rPr>
        <w:t xml:space="preserve"> Africké země vyvážející banány (v tis. t) v roce 2000 a 2004.</w:t>
      </w:r>
    </w:p>
    <w:tbl>
      <w:tblPr>
        <w:tblW w:w="5000" w:type="pct"/>
        <w:tblInd w:w="55" w:type="dxa"/>
        <w:tblCellMar>
          <w:left w:w="70" w:type="dxa"/>
          <w:right w:w="70" w:type="dxa"/>
        </w:tblCellMar>
        <w:tblLook w:val="0000" w:firstRow="0" w:lastRow="0" w:firstColumn="0" w:lastColumn="0" w:noHBand="0" w:noVBand="0"/>
      </w:tblPr>
      <w:tblGrid>
        <w:gridCol w:w="3884"/>
        <w:gridCol w:w="2664"/>
        <w:gridCol w:w="2664"/>
      </w:tblGrid>
      <w:tr w:rsidR="00DF128A" w:rsidRPr="00DF128A" w:rsidTr="00DF128A">
        <w:trPr>
          <w:trHeight w:val="285"/>
        </w:trPr>
        <w:tc>
          <w:tcPr>
            <w:tcW w:w="3884" w:type="dxa"/>
            <w:tcBorders>
              <w:top w:val="single" w:sz="18" w:space="0" w:color="auto"/>
              <w:left w:val="single" w:sz="18" w:space="0" w:color="auto"/>
              <w:bottom w:val="double" w:sz="6" w:space="0" w:color="auto"/>
              <w:right w:val="double" w:sz="6" w:space="0" w:color="auto"/>
            </w:tcBorders>
            <w:shd w:val="clear" w:color="auto" w:fill="969696"/>
            <w:noWrap/>
            <w:vAlign w:val="bottom"/>
          </w:tcPr>
          <w:p w:rsidR="00DF128A" w:rsidRPr="00A80C9E" w:rsidRDefault="00DF128A" w:rsidP="00DF128A">
            <w:pPr>
              <w:widowControl w:val="0"/>
              <w:spacing w:line="276" w:lineRule="auto"/>
              <w:ind w:firstLine="709"/>
              <w:jc w:val="both"/>
              <w:rPr>
                <w:rFonts w:cstheme="minorHAnsi"/>
                <w:b/>
                <w:bCs/>
                <w:sz w:val="20"/>
                <w:szCs w:val="20"/>
              </w:rPr>
            </w:pPr>
            <w:r w:rsidRPr="00A80C9E">
              <w:rPr>
                <w:rFonts w:cstheme="minorHAnsi"/>
                <w:b/>
                <w:bCs/>
                <w:sz w:val="20"/>
                <w:szCs w:val="20"/>
              </w:rPr>
              <w:t>Stát</w:t>
            </w:r>
          </w:p>
        </w:tc>
        <w:tc>
          <w:tcPr>
            <w:tcW w:w="2664" w:type="dxa"/>
            <w:tcBorders>
              <w:top w:val="single" w:sz="18" w:space="0" w:color="auto"/>
              <w:left w:val="nil"/>
              <w:bottom w:val="double" w:sz="6" w:space="0" w:color="auto"/>
              <w:right w:val="single" w:sz="4" w:space="0" w:color="auto"/>
            </w:tcBorders>
            <w:shd w:val="clear" w:color="auto" w:fill="969696"/>
            <w:noWrap/>
            <w:vAlign w:val="bottom"/>
          </w:tcPr>
          <w:p w:rsidR="00DF128A" w:rsidRPr="00A80C9E" w:rsidRDefault="00DF128A" w:rsidP="00DF128A">
            <w:pPr>
              <w:widowControl w:val="0"/>
              <w:spacing w:line="276" w:lineRule="auto"/>
              <w:ind w:firstLine="709"/>
              <w:jc w:val="both"/>
              <w:rPr>
                <w:rFonts w:cstheme="minorHAnsi"/>
                <w:b/>
                <w:bCs/>
                <w:sz w:val="20"/>
                <w:szCs w:val="20"/>
              </w:rPr>
            </w:pPr>
            <w:r w:rsidRPr="00A80C9E">
              <w:rPr>
                <w:rFonts w:cstheme="minorHAnsi"/>
                <w:b/>
                <w:bCs/>
                <w:sz w:val="20"/>
                <w:szCs w:val="20"/>
              </w:rPr>
              <w:t>2000</w:t>
            </w:r>
          </w:p>
        </w:tc>
        <w:tc>
          <w:tcPr>
            <w:tcW w:w="2664" w:type="dxa"/>
            <w:tcBorders>
              <w:top w:val="single" w:sz="18" w:space="0" w:color="auto"/>
              <w:left w:val="nil"/>
              <w:bottom w:val="double" w:sz="6" w:space="0" w:color="auto"/>
              <w:right w:val="single" w:sz="18" w:space="0" w:color="auto"/>
            </w:tcBorders>
            <w:shd w:val="clear" w:color="auto" w:fill="969696"/>
            <w:noWrap/>
            <w:vAlign w:val="bottom"/>
          </w:tcPr>
          <w:p w:rsidR="00DF128A" w:rsidRPr="00A80C9E" w:rsidRDefault="00DF128A" w:rsidP="00DF128A">
            <w:pPr>
              <w:widowControl w:val="0"/>
              <w:spacing w:line="276" w:lineRule="auto"/>
              <w:ind w:firstLine="709"/>
              <w:jc w:val="both"/>
              <w:rPr>
                <w:rFonts w:cstheme="minorHAnsi"/>
                <w:b/>
                <w:bCs/>
                <w:sz w:val="20"/>
                <w:szCs w:val="20"/>
              </w:rPr>
            </w:pPr>
            <w:r w:rsidRPr="00A80C9E">
              <w:rPr>
                <w:rFonts w:cstheme="minorHAnsi"/>
                <w:b/>
                <w:bCs/>
                <w:sz w:val="20"/>
                <w:szCs w:val="20"/>
              </w:rPr>
              <w:t>2004</w:t>
            </w:r>
          </w:p>
        </w:tc>
      </w:tr>
      <w:tr w:rsidR="00DF128A" w:rsidRPr="00DF128A" w:rsidTr="00DF128A">
        <w:trPr>
          <w:trHeight w:val="270"/>
        </w:trPr>
        <w:tc>
          <w:tcPr>
            <w:tcW w:w="3884" w:type="dxa"/>
            <w:tcBorders>
              <w:top w:val="nil"/>
              <w:left w:val="single" w:sz="18" w:space="0" w:color="auto"/>
              <w:bottom w:val="single" w:sz="4" w:space="0" w:color="auto"/>
              <w:right w:val="double" w:sz="6" w:space="0" w:color="auto"/>
            </w:tcBorders>
            <w:shd w:val="clear" w:color="auto" w:fill="C0C0C0"/>
            <w:noWrap/>
            <w:vAlign w:val="bottom"/>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Pobřeží slonoviny</w:t>
            </w:r>
          </w:p>
        </w:tc>
        <w:tc>
          <w:tcPr>
            <w:tcW w:w="2664" w:type="dxa"/>
            <w:tcBorders>
              <w:top w:val="nil"/>
              <w:left w:val="nil"/>
              <w:bottom w:val="single" w:sz="4" w:space="0" w:color="auto"/>
              <w:right w:val="single" w:sz="4"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217</w:t>
            </w:r>
          </w:p>
        </w:tc>
        <w:tc>
          <w:tcPr>
            <w:tcW w:w="2664" w:type="dxa"/>
            <w:tcBorders>
              <w:top w:val="nil"/>
              <w:left w:val="nil"/>
              <w:bottom w:val="single" w:sz="4" w:space="0" w:color="auto"/>
              <w:right w:val="single" w:sz="18"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229</w:t>
            </w:r>
          </w:p>
        </w:tc>
      </w:tr>
      <w:tr w:rsidR="00DF128A" w:rsidRPr="00DF128A" w:rsidTr="00DF128A">
        <w:trPr>
          <w:trHeight w:val="270"/>
        </w:trPr>
        <w:tc>
          <w:tcPr>
            <w:tcW w:w="3884" w:type="dxa"/>
            <w:tcBorders>
              <w:top w:val="nil"/>
              <w:left w:val="single" w:sz="18" w:space="0" w:color="auto"/>
              <w:bottom w:val="single" w:sz="4" w:space="0" w:color="auto"/>
              <w:right w:val="double" w:sz="6" w:space="0" w:color="auto"/>
            </w:tcBorders>
            <w:shd w:val="clear" w:color="auto" w:fill="C0C0C0"/>
            <w:noWrap/>
            <w:vAlign w:val="bottom"/>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Kamerun</w:t>
            </w:r>
          </w:p>
        </w:tc>
        <w:tc>
          <w:tcPr>
            <w:tcW w:w="2664" w:type="dxa"/>
            <w:tcBorders>
              <w:top w:val="nil"/>
              <w:left w:val="nil"/>
              <w:bottom w:val="single" w:sz="4" w:space="0" w:color="auto"/>
              <w:right w:val="single" w:sz="4"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238</w:t>
            </w:r>
          </w:p>
        </w:tc>
        <w:tc>
          <w:tcPr>
            <w:tcW w:w="2664" w:type="dxa"/>
            <w:tcBorders>
              <w:top w:val="nil"/>
              <w:left w:val="nil"/>
              <w:bottom w:val="single" w:sz="4" w:space="0" w:color="auto"/>
              <w:right w:val="single" w:sz="18"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295</w:t>
            </w:r>
          </w:p>
        </w:tc>
      </w:tr>
      <w:tr w:rsidR="00DF128A" w:rsidRPr="00DF128A" w:rsidTr="00DF128A">
        <w:trPr>
          <w:trHeight w:val="270"/>
        </w:trPr>
        <w:tc>
          <w:tcPr>
            <w:tcW w:w="3884" w:type="dxa"/>
            <w:tcBorders>
              <w:top w:val="nil"/>
              <w:left w:val="single" w:sz="18" w:space="0" w:color="auto"/>
              <w:bottom w:val="single" w:sz="4" w:space="0" w:color="auto"/>
              <w:right w:val="double" w:sz="6" w:space="0" w:color="auto"/>
            </w:tcBorders>
            <w:shd w:val="clear" w:color="auto" w:fill="C0C0C0"/>
            <w:noWrap/>
            <w:vAlign w:val="bottom"/>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Somálsko</w:t>
            </w:r>
          </w:p>
        </w:tc>
        <w:tc>
          <w:tcPr>
            <w:tcW w:w="2664" w:type="dxa"/>
            <w:tcBorders>
              <w:top w:val="nil"/>
              <w:left w:val="nil"/>
              <w:bottom w:val="single" w:sz="4" w:space="0" w:color="auto"/>
              <w:right w:val="single" w:sz="4"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16</w:t>
            </w:r>
          </w:p>
        </w:tc>
        <w:tc>
          <w:tcPr>
            <w:tcW w:w="2664" w:type="dxa"/>
            <w:tcBorders>
              <w:top w:val="nil"/>
              <w:left w:val="nil"/>
              <w:bottom w:val="single" w:sz="4" w:space="0" w:color="auto"/>
              <w:right w:val="single" w:sz="18"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w:t>
            </w:r>
          </w:p>
        </w:tc>
      </w:tr>
      <w:tr w:rsidR="00DF128A" w:rsidRPr="00DF128A" w:rsidTr="00DF128A">
        <w:trPr>
          <w:trHeight w:val="255"/>
        </w:trPr>
        <w:tc>
          <w:tcPr>
            <w:tcW w:w="3884" w:type="dxa"/>
            <w:tcBorders>
              <w:top w:val="nil"/>
              <w:left w:val="single" w:sz="18" w:space="0" w:color="auto"/>
              <w:bottom w:val="single" w:sz="4" w:space="0" w:color="auto"/>
              <w:right w:val="double" w:sz="6" w:space="0" w:color="auto"/>
            </w:tcBorders>
            <w:shd w:val="clear" w:color="auto" w:fill="C0C0C0"/>
            <w:noWrap/>
            <w:vAlign w:val="bottom"/>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Etiopie</w:t>
            </w:r>
          </w:p>
        </w:tc>
        <w:tc>
          <w:tcPr>
            <w:tcW w:w="2664" w:type="dxa"/>
            <w:tcBorders>
              <w:top w:val="nil"/>
              <w:left w:val="nil"/>
              <w:bottom w:val="single" w:sz="4" w:space="0" w:color="auto"/>
              <w:right w:val="single" w:sz="4"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0,5</w:t>
            </w:r>
          </w:p>
        </w:tc>
        <w:tc>
          <w:tcPr>
            <w:tcW w:w="2664" w:type="dxa"/>
            <w:tcBorders>
              <w:top w:val="nil"/>
              <w:left w:val="nil"/>
              <w:bottom w:val="single" w:sz="4" w:space="0" w:color="auto"/>
              <w:right w:val="single" w:sz="18"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w:t>
            </w:r>
          </w:p>
        </w:tc>
      </w:tr>
      <w:tr w:rsidR="00DF128A" w:rsidRPr="00DF128A" w:rsidTr="00DF128A">
        <w:trPr>
          <w:trHeight w:val="270"/>
        </w:trPr>
        <w:tc>
          <w:tcPr>
            <w:tcW w:w="3884" w:type="dxa"/>
            <w:tcBorders>
              <w:top w:val="nil"/>
              <w:left w:val="single" w:sz="18" w:space="0" w:color="auto"/>
              <w:bottom w:val="single" w:sz="12" w:space="0" w:color="auto"/>
              <w:right w:val="double" w:sz="6" w:space="0" w:color="auto"/>
            </w:tcBorders>
            <w:shd w:val="clear" w:color="auto" w:fill="C0C0C0"/>
            <w:noWrap/>
            <w:vAlign w:val="bottom"/>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Guinea</w:t>
            </w:r>
          </w:p>
        </w:tc>
        <w:tc>
          <w:tcPr>
            <w:tcW w:w="2664" w:type="dxa"/>
            <w:tcBorders>
              <w:top w:val="nil"/>
              <w:left w:val="nil"/>
              <w:bottom w:val="single" w:sz="12" w:space="0" w:color="auto"/>
              <w:right w:val="single" w:sz="4"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13</w:t>
            </w:r>
          </w:p>
        </w:tc>
        <w:tc>
          <w:tcPr>
            <w:tcW w:w="2664" w:type="dxa"/>
            <w:tcBorders>
              <w:top w:val="nil"/>
              <w:left w:val="nil"/>
              <w:bottom w:val="single" w:sz="12" w:space="0" w:color="auto"/>
              <w:right w:val="single" w:sz="18"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w:t>
            </w:r>
          </w:p>
        </w:tc>
      </w:tr>
      <w:tr w:rsidR="00DF128A" w:rsidRPr="00DF128A" w:rsidTr="00DF128A">
        <w:trPr>
          <w:trHeight w:val="270"/>
        </w:trPr>
        <w:tc>
          <w:tcPr>
            <w:tcW w:w="3884" w:type="dxa"/>
            <w:tcBorders>
              <w:top w:val="single" w:sz="12" w:space="0" w:color="auto"/>
              <w:left w:val="single" w:sz="18" w:space="0" w:color="auto"/>
              <w:bottom w:val="single" w:sz="18" w:space="0" w:color="auto"/>
              <w:right w:val="double" w:sz="6" w:space="0" w:color="auto"/>
            </w:tcBorders>
            <w:shd w:val="clear" w:color="auto" w:fill="C0C0C0"/>
            <w:noWrap/>
            <w:vAlign w:val="bottom"/>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Světový export celkem</w:t>
            </w:r>
          </w:p>
        </w:tc>
        <w:tc>
          <w:tcPr>
            <w:tcW w:w="2664" w:type="dxa"/>
            <w:tcBorders>
              <w:top w:val="single" w:sz="12" w:space="0" w:color="auto"/>
              <w:left w:val="nil"/>
              <w:bottom w:val="single" w:sz="18" w:space="0" w:color="auto"/>
              <w:right w:val="single" w:sz="4"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11,922</w:t>
            </w:r>
          </w:p>
        </w:tc>
        <w:tc>
          <w:tcPr>
            <w:tcW w:w="2664" w:type="dxa"/>
            <w:tcBorders>
              <w:top w:val="single" w:sz="12" w:space="0" w:color="auto"/>
              <w:left w:val="nil"/>
              <w:bottom w:val="single" w:sz="18" w:space="0" w:color="auto"/>
              <w:right w:val="single" w:sz="18"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12,839</w:t>
            </w:r>
          </w:p>
        </w:tc>
      </w:tr>
    </w:tbl>
    <w:p w:rsidR="00DF128A" w:rsidRPr="00DF128A" w:rsidRDefault="00DF128A" w:rsidP="00A80C9E">
      <w:pPr>
        <w:widowControl w:val="0"/>
        <w:autoSpaceDE w:val="0"/>
        <w:autoSpaceDN w:val="0"/>
        <w:adjustRightInd w:val="0"/>
        <w:spacing w:line="276" w:lineRule="auto"/>
        <w:jc w:val="both"/>
        <w:rPr>
          <w:rFonts w:ascii="Times New Roman" w:hAnsi="Times New Roman" w:cs="Times New Roman"/>
          <w:color w:val="000000"/>
          <w:sz w:val="24"/>
          <w:szCs w:val="24"/>
        </w:rPr>
      </w:pPr>
      <w:r w:rsidRPr="00DF128A">
        <w:rPr>
          <w:rFonts w:ascii="Times New Roman" w:hAnsi="Times New Roman" w:cs="Times New Roman"/>
          <w:color w:val="000000"/>
          <w:sz w:val="24"/>
          <w:szCs w:val="24"/>
        </w:rPr>
        <w:t>Zdroj: FAO Banana Statistics 2005</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color w:val="000000"/>
          <w:sz w:val="24"/>
          <w:szCs w:val="24"/>
        </w:rPr>
      </w:pP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Do konce</w:t>
      </w:r>
      <w:r w:rsidRPr="00DF128A">
        <w:rPr>
          <w:rFonts w:ascii="Times New Roman" w:hAnsi="Times New Roman" w:cs="Times New Roman"/>
          <w:color w:val="FF0080"/>
          <w:sz w:val="24"/>
          <w:szCs w:val="24"/>
        </w:rPr>
        <w:t xml:space="preserve"> </w:t>
      </w:r>
      <w:r w:rsidRPr="00DF128A">
        <w:rPr>
          <w:rFonts w:ascii="Times New Roman" w:hAnsi="Times New Roman" w:cs="Times New Roman"/>
          <w:sz w:val="24"/>
          <w:szCs w:val="24"/>
        </w:rPr>
        <w:t xml:space="preserve">80. let vypadaly plantáže takto:  jednalo se o malé rodinné plantáže. Po roce 1993 začal export banánů z Kamerunu a Pobřeží slonoviny do Evropské unie. V letech 1988 a 2000 Pobřeží slonoviny zvýšilo svůj export trojnásobně, zatímco Kamerun ve stejném období zvýšil export dvojnásobně. </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color w:val="000000"/>
          <w:sz w:val="24"/>
          <w:szCs w:val="24"/>
        </w:rPr>
      </w:pPr>
      <w:r w:rsidRPr="00DF128A">
        <w:rPr>
          <w:rFonts w:ascii="Times New Roman" w:hAnsi="Times New Roman" w:cs="Times New Roman"/>
          <w:sz w:val="24"/>
          <w:szCs w:val="24"/>
        </w:rPr>
        <w:t xml:space="preserve">   </w:t>
      </w:r>
      <w:r w:rsidRPr="00DF128A">
        <w:rPr>
          <w:rFonts w:ascii="Times New Roman" w:hAnsi="Times New Roman" w:cs="Times New Roman"/>
          <w:sz w:val="24"/>
          <w:szCs w:val="24"/>
        </w:rPr>
        <w:tab/>
        <w:t>Pro zvýšení exportu nadnárodní korporace založily plantáže velkých rozměrů (v Kamerunu – Del Monte a Dole, Pobřeží slonoviny – Chiquita).</w:t>
      </w:r>
      <w:r w:rsidRPr="00DF128A">
        <w:rPr>
          <w:rFonts w:ascii="Times New Roman" w:hAnsi="Times New Roman" w:cs="Times New Roman"/>
          <w:color w:val="000000"/>
          <w:sz w:val="24"/>
          <w:szCs w:val="24"/>
        </w:rPr>
        <w:t xml:space="preserve"> Banány určené pro vývoz,  vyžadují použití chemikálií, aby se zvýšila produkce a aby africké země mohly konkurovat na trhu. Výnosy jsou srovnatelné s těmi v Latinské Americe, ačkoli kvalita je variabilní. V Somálsku se export banánů úplně zastavil, v souvislosti se špatnými klimatickými podmínkami a pokračující občanskou válkou. </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color w:val="000000"/>
          <w:sz w:val="24"/>
          <w:szCs w:val="24"/>
        </w:rPr>
        <w:lastRenderedPageBreak/>
        <w:tab/>
        <w:t>Dělnické mzdy jsou tak nízké jako v Latinské Americe (možná i nižší), přesto jsou výrobní náklady relativně vysoké. Což je dáno nedostatečnou infrastrukturou (</w:t>
      </w:r>
      <w:r w:rsidRPr="00DF128A">
        <w:rPr>
          <w:rFonts w:ascii="Times New Roman" w:hAnsi="Times New Roman" w:cs="Times New Roman"/>
          <w:sz w:val="24"/>
          <w:szCs w:val="24"/>
        </w:rPr>
        <w:t xml:space="preserve">silniční sítě, komunikace a námořní doprava), různá kvalita a farmáři obtížné získávají půjčky. Odborová hnutí jsou slabá nebo neexistují vůbec (s výjimkou Ghany).  </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V Kamerunu a Pobřeží slonoviny probíhá experimentální program, jenž je realizovaný s financí EU k tomu, aby se zvýšila konkurenceschopnost banánového průmyslu a přitom se zlepšovaly vlivy na životní prostředí. Ghana to je jediná země v Africe, jenž úspěšně exportuje fair trade banány na evropský trh. V roce 2005 Dole začalo působit v Ghaně a export se zvýšil téměř pětkrát. </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p>
    <w:p w:rsidR="00DF128A" w:rsidRPr="00DF128A" w:rsidRDefault="00DF128A" w:rsidP="00A80C9E">
      <w:pPr>
        <w:widowControl w:val="0"/>
        <w:autoSpaceDE w:val="0"/>
        <w:autoSpaceDN w:val="0"/>
        <w:adjustRightInd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Karibská oblast</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Klimatické podmínky v tomto regionu jsou ideální pro pěstování banánů. Banány vypěstované v zemích Windward Islands</w:t>
      </w:r>
      <w:r w:rsidRPr="00DF128A">
        <w:rPr>
          <w:rStyle w:val="Znakapoznpodarou"/>
          <w:rFonts w:ascii="Times New Roman" w:hAnsi="Times New Roman" w:cs="Times New Roman"/>
          <w:sz w:val="24"/>
          <w:szCs w:val="24"/>
        </w:rPr>
        <w:footnoteReference w:id="32"/>
      </w:r>
      <w:r w:rsidRPr="00DF128A">
        <w:rPr>
          <w:rFonts w:ascii="Times New Roman" w:hAnsi="Times New Roman" w:cs="Times New Roman"/>
          <w:sz w:val="24"/>
          <w:szCs w:val="24"/>
        </w:rPr>
        <w:t xml:space="preserve"> (bývalé britské kolonie) a v jedné oblasti Jamajky jsou vyprodukované na malých farmách v kopcovitých oblastech, vlastníky a zpracovateli jsou místní producenti či se jedná o rodinné obchody. Kvůli kopcovité povaze ostrovů produkce banánů na rozlehlých plantážích není možná. Členové rodiny často pracují na farmách, které jsou méně než pěti hektarové. V některých případech, banány jsou pěstované s jinými plodinami (určené pro potravu). Banány vypěstované v regionu Windward Islands jsou obvykle menší a mají více skvrn než „dolarové banány,“ při jejich pěstování se používá méně chemikálií než na latinskoamerických plantáží. V Belize, Surinamu, Jamajce a severu Dominikánské republiky, jsou banány vypěstované na středně velkých plantážích. V jižní části Dominikánské republiky je produkce banánů v rukou tisíců malozemědělců, mnoho z nich je pěstuje pro bio nebo fair trade obchody. Banány poskytují významný exportní příjem pro mnoho malých zemí v tomto regionu.  </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p>
    <w:p w:rsidR="00DF128A" w:rsidRPr="00DF128A" w:rsidRDefault="00DF128A" w:rsidP="00A80C9E">
      <w:pPr>
        <w:widowControl w:val="0"/>
        <w:autoSpaceDE w:val="0"/>
        <w:autoSpaceDN w:val="0"/>
        <w:adjustRightInd w:val="0"/>
        <w:spacing w:line="276" w:lineRule="auto"/>
        <w:jc w:val="both"/>
        <w:rPr>
          <w:rFonts w:ascii="Times New Roman" w:hAnsi="Times New Roman" w:cs="Times New Roman"/>
          <w:sz w:val="24"/>
          <w:szCs w:val="24"/>
        </w:rPr>
      </w:pPr>
      <w:r w:rsidRPr="00DF128A">
        <w:rPr>
          <w:rFonts w:ascii="Times New Roman" w:hAnsi="Times New Roman" w:cs="Times New Roman"/>
          <w:b/>
          <w:sz w:val="24"/>
          <w:szCs w:val="24"/>
        </w:rPr>
        <w:t>Tab. 8.</w:t>
      </w:r>
      <w:r w:rsidRPr="00DF128A">
        <w:rPr>
          <w:rFonts w:ascii="Times New Roman" w:hAnsi="Times New Roman" w:cs="Times New Roman"/>
          <w:sz w:val="24"/>
          <w:szCs w:val="24"/>
        </w:rPr>
        <w:t xml:space="preserve"> Karibské země vyvážející banány (v tis. t) v roce 2000 a 2004.</w:t>
      </w:r>
    </w:p>
    <w:tbl>
      <w:tblPr>
        <w:tblW w:w="5000" w:type="pct"/>
        <w:tblInd w:w="55" w:type="dxa"/>
        <w:tblCellMar>
          <w:left w:w="70" w:type="dxa"/>
          <w:right w:w="70" w:type="dxa"/>
        </w:tblCellMar>
        <w:tblLook w:val="0000" w:firstRow="0" w:lastRow="0" w:firstColumn="0" w:lastColumn="0" w:noHBand="0" w:noVBand="0"/>
      </w:tblPr>
      <w:tblGrid>
        <w:gridCol w:w="4700"/>
        <w:gridCol w:w="2256"/>
        <w:gridCol w:w="2256"/>
      </w:tblGrid>
      <w:tr w:rsidR="00DF128A" w:rsidRPr="00DF128A" w:rsidTr="00DF128A">
        <w:trPr>
          <w:trHeight w:val="285"/>
        </w:trPr>
        <w:tc>
          <w:tcPr>
            <w:tcW w:w="4700" w:type="dxa"/>
            <w:tcBorders>
              <w:top w:val="single" w:sz="18" w:space="0" w:color="auto"/>
              <w:left w:val="single" w:sz="18" w:space="0" w:color="auto"/>
              <w:bottom w:val="double" w:sz="6" w:space="0" w:color="auto"/>
              <w:right w:val="single" w:sz="4" w:space="0" w:color="auto"/>
            </w:tcBorders>
            <w:shd w:val="clear" w:color="auto" w:fill="969696"/>
            <w:noWrap/>
            <w:vAlign w:val="center"/>
          </w:tcPr>
          <w:p w:rsidR="00DF128A" w:rsidRPr="00A80C9E" w:rsidRDefault="00DF128A" w:rsidP="00DF128A">
            <w:pPr>
              <w:widowControl w:val="0"/>
              <w:spacing w:line="276" w:lineRule="auto"/>
              <w:ind w:firstLine="709"/>
              <w:jc w:val="both"/>
              <w:rPr>
                <w:rFonts w:cstheme="minorHAnsi"/>
                <w:b/>
                <w:bCs/>
                <w:sz w:val="20"/>
                <w:szCs w:val="20"/>
              </w:rPr>
            </w:pPr>
            <w:r w:rsidRPr="00A80C9E">
              <w:rPr>
                <w:rFonts w:cstheme="minorHAnsi"/>
                <w:b/>
                <w:bCs/>
                <w:sz w:val="20"/>
                <w:szCs w:val="20"/>
              </w:rPr>
              <w:t>Stát</w:t>
            </w:r>
          </w:p>
        </w:tc>
        <w:tc>
          <w:tcPr>
            <w:tcW w:w="2256" w:type="dxa"/>
            <w:tcBorders>
              <w:top w:val="single" w:sz="18" w:space="0" w:color="auto"/>
              <w:left w:val="nil"/>
              <w:bottom w:val="double" w:sz="6" w:space="0" w:color="auto"/>
              <w:right w:val="single" w:sz="4" w:space="0" w:color="auto"/>
            </w:tcBorders>
            <w:shd w:val="clear" w:color="auto" w:fill="969696"/>
            <w:noWrap/>
            <w:vAlign w:val="center"/>
          </w:tcPr>
          <w:p w:rsidR="00DF128A" w:rsidRPr="00A80C9E" w:rsidRDefault="00DF128A" w:rsidP="00DF128A">
            <w:pPr>
              <w:widowControl w:val="0"/>
              <w:spacing w:line="276" w:lineRule="auto"/>
              <w:ind w:firstLine="709"/>
              <w:jc w:val="both"/>
              <w:rPr>
                <w:rFonts w:cstheme="minorHAnsi"/>
                <w:b/>
                <w:bCs/>
                <w:sz w:val="20"/>
                <w:szCs w:val="20"/>
              </w:rPr>
            </w:pPr>
            <w:r w:rsidRPr="00A80C9E">
              <w:rPr>
                <w:rFonts w:cstheme="minorHAnsi"/>
                <w:b/>
                <w:bCs/>
                <w:sz w:val="20"/>
                <w:szCs w:val="20"/>
              </w:rPr>
              <w:t>2000</w:t>
            </w:r>
          </w:p>
        </w:tc>
        <w:tc>
          <w:tcPr>
            <w:tcW w:w="2256" w:type="dxa"/>
            <w:tcBorders>
              <w:top w:val="single" w:sz="18" w:space="0" w:color="auto"/>
              <w:left w:val="nil"/>
              <w:bottom w:val="double" w:sz="6" w:space="0" w:color="auto"/>
              <w:right w:val="single" w:sz="18" w:space="0" w:color="auto"/>
            </w:tcBorders>
            <w:shd w:val="clear" w:color="auto" w:fill="969696"/>
            <w:noWrap/>
            <w:vAlign w:val="center"/>
          </w:tcPr>
          <w:p w:rsidR="00DF128A" w:rsidRPr="00A80C9E" w:rsidRDefault="00DF128A" w:rsidP="00DF128A">
            <w:pPr>
              <w:widowControl w:val="0"/>
              <w:spacing w:line="276" w:lineRule="auto"/>
              <w:ind w:firstLine="709"/>
              <w:jc w:val="both"/>
              <w:rPr>
                <w:rFonts w:cstheme="minorHAnsi"/>
                <w:b/>
                <w:bCs/>
                <w:sz w:val="20"/>
                <w:szCs w:val="20"/>
              </w:rPr>
            </w:pPr>
            <w:r w:rsidRPr="00A80C9E">
              <w:rPr>
                <w:rFonts w:cstheme="minorHAnsi"/>
                <w:b/>
                <w:bCs/>
                <w:sz w:val="20"/>
                <w:szCs w:val="20"/>
              </w:rPr>
              <w:t>2004</w:t>
            </w:r>
          </w:p>
        </w:tc>
      </w:tr>
      <w:tr w:rsidR="00DF128A" w:rsidRPr="00DF128A" w:rsidTr="00DF128A">
        <w:trPr>
          <w:trHeight w:val="285"/>
        </w:trPr>
        <w:tc>
          <w:tcPr>
            <w:tcW w:w="4700" w:type="dxa"/>
            <w:tcBorders>
              <w:top w:val="nil"/>
              <w:left w:val="single" w:sz="18" w:space="0" w:color="auto"/>
              <w:bottom w:val="single" w:sz="4"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Jamajka</w:t>
            </w:r>
          </w:p>
        </w:tc>
        <w:tc>
          <w:tcPr>
            <w:tcW w:w="2256" w:type="dxa"/>
            <w:tcBorders>
              <w:top w:val="nil"/>
              <w:left w:val="double" w:sz="6" w:space="0" w:color="auto"/>
              <w:bottom w:val="single" w:sz="4"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1,883</w:t>
            </w:r>
          </w:p>
        </w:tc>
        <w:tc>
          <w:tcPr>
            <w:tcW w:w="2256" w:type="dxa"/>
            <w:tcBorders>
              <w:top w:val="nil"/>
              <w:left w:val="nil"/>
              <w:bottom w:val="single" w:sz="4"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1,793</w:t>
            </w:r>
          </w:p>
        </w:tc>
      </w:tr>
      <w:tr w:rsidR="00DF128A" w:rsidRPr="00DF128A" w:rsidTr="00DF128A">
        <w:trPr>
          <w:trHeight w:val="285"/>
        </w:trPr>
        <w:tc>
          <w:tcPr>
            <w:tcW w:w="4700" w:type="dxa"/>
            <w:tcBorders>
              <w:top w:val="nil"/>
              <w:left w:val="single" w:sz="18" w:space="0" w:color="auto"/>
              <w:bottom w:val="single" w:sz="4"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Dominikánská republika</w:t>
            </w:r>
          </w:p>
        </w:tc>
        <w:tc>
          <w:tcPr>
            <w:tcW w:w="2256" w:type="dxa"/>
            <w:tcBorders>
              <w:top w:val="nil"/>
              <w:left w:val="double" w:sz="6" w:space="0" w:color="auto"/>
              <w:bottom w:val="single" w:sz="4"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1,68</w:t>
            </w:r>
          </w:p>
        </w:tc>
        <w:tc>
          <w:tcPr>
            <w:tcW w:w="2256" w:type="dxa"/>
            <w:tcBorders>
              <w:top w:val="nil"/>
              <w:left w:val="nil"/>
              <w:bottom w:val="single" w:sz="4"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1,395</w:t>
            </w:r>
          </w:p>
        </w:tc>
      </w:tr>
      <w:tr w:rsidR="00DF128A" w:rsidRPr="00DF128A" w:rsidTr="00DF128A">
        <w:trPr>
          <w:trHeight w:val="285"/>
        </w:trPr>
        <w:tc>
          <w:tcPr>
            <w:tcW w:w="4700" w:type="dxa"/>
            <w:tcBorders>
              <w:top w:val="nil"/>
              <w:left w:val="single" w:sz="18" w:space="0" w:color="auto"/>
              <w:bottom w:val="single" w:sz="4"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 xml:space="preserve"> Windward Islands</w:t>
            </w:r>
          </w:p>
        </w:tc>
        <w:tc>
          <w:tcPr>
            <w:tcW w:w="2256" w:type="dxa"/>
            <w:tcBorders>
              <w:top w:val="nil"/>
              <w:left w:val="double" w:sz="6" w:space="0" w:color="auto"/>
              <w:bottom w:val="single" w:sz="4"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 3,940</w:t>
            </w:r>
          </w:p>
        </w:tc>
        <w:tc>
          <w:tcPr>
            <w:tcW w:w="2256" w:type="dxa"/>
            <w:tcBorders>
              <w:top w:val="nil"/>
              <w:left w:val="nil"/>
              <w:bottom w:val="single" w:sz="4"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 4,537</w:t>
            </w:r>
          </w:p>
        </w:tc>
      </w:tr>
      <w:tr w:rsidR="00DF128A" w:rsidRPr="00DF128A" w:rsidTr="00DF128A">
        <w:trPr>
          <w:trHeight w:val="285"/>
        </w:trPr>
        <w:tc>
          <w:tcPr>
            <w:tcW w:w="4700" w:type="dxa"/>
            <w:tcBorders>
              <w:top w:val="nil"/>
              <w:left w:val="single" w:sz="18" w:space="0" w:color="auto"/>
              <w:bottom w:val="single" w:sz="4"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Sv. Lucie</w:t>
            </w:r>
          </w:p>
        </w:tc>
        <w:tc>
          <w:tcPr>
            <w:tcW w:w="2256" w:type="dxa"/>
            <w:tcBorders>
              <w:top w:val="nil"/>
              <w:left w:val="double" w:sz="6" w:space="0" w:color="auto"/>
              <w:bottom w:val="single" w:sz="4"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801</w:t>
            </w:r>
          </w:p>
        </w:tc>
        <w:tc>
          <w:tcPr>
            <w:tcW w:w="2256" w:type="dxa"/>
            <w:tcBorders>
              <w:top w:val="nil"/>
              <w:left w:val="nil"/>
              <w:bottom w:val="single" w:sz="4"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1,058</w:t>
            </w:r>
          </w:p>
        </w:tc>
      </w:tr>
      <w:tr w:rsidR="00DF128A" w:rsidRPr="00DF128A" w:rsidTr="00DF128A">
        <w:trPr>
          <w:trHeight w:val="285"/>
        </w:trPr>
        <w:tc>
          <w:tcPr>
            <w:tcW w:w="4700" w:type="dxa"/>
            <w:tcBorders>
              <w:top w:val="nil"/>
              <w:left w:val="single" w:sz="18" w:space="0" w:color="auto"/>
              <w:bottom w:val="single" w:sz="4"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Sv. Vincenc a Grenadiny</w:t>
            </w:r>
          </w:p>
        </w:tc>
        <w:tc>
          <w:tcPr>
            <w:tcW w:w="2256" w:type="dxa"/>
            <w:tcBorders>
              <w:top w:val="nil"/>
              <w:left w:val="double" w:sz="6" w:space="0" w:color="auto"/>
              <w:bottom w:val="single" w:sz="4"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489</w:t>
            </w:r>
          </w:p>
        </w:tc>
        <w:tc>
          <w:tcPr>
            <w:tcW w:w="2256" w:type="dxa"/>
            <w:tcBorders>
              <w:top w:val="nil"/>
              <w:left w:val="nil"/>
              <w:bottom w:val="single" w:sz="4"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398</w:t>
            </w:r>
          </w:p>
        </w:tc>
      </w:tr>
      <w:tr w:rsidR="00DF128A" w:rsidRPr="00DF128A" w:rsidTr="00DF128A">
        <w:trPr>
          <w:trHeight w:val="285"/>
        </w:trPr>
        <w:tc>
          <w:tcPr>
            <w:tcW w:w="4700" w:type="dxa"/>
            <w:tcBorders>
              <w:top w:val="nil"/>
              <w:left w:val="single" w:sz="18" w:space="0" w:color="auto"/>
              <w:bottom w:val="single" w:sz="12"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Grenada</w:t>
            </w:r>
          </w:p>
        </w:tc>
        <w:tc>
          <w:tcPr>
            <w:tcW w:w="2256" w:type="dxa"/>
            <w:tcBorders>
              <w:top w:val="nil"/>
              <w:left w:val="double" w:sz="6" w:space="0" w:color="auto"/>
              <w:bottom w:val="single" w:sz="12"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46</w:t>
            </w:r>
          </w:p>
        </w:tc>
        <w:tc>
          <w:tcPr>
            <w:tcW w:w="2256" w:type="dxa"/>
            <w:tcBorders>
              <w:top w:val="nil"/>
              <w:left w:val="nil"/>
              <w:bottom w:val="single" w:sz="12"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46</w:t>
            </w:r>
          </w:p>
        </w:tc>
      </w:tr>
      <w:tr w:rsidR="00DF128A" w:rsidRPr="00DF128A" w:rsidTr="00DF128A">
        <w:trPr>
          <w:trHeight w:val="285"/>
        </w:trPr>
        <w:tc>
          <w:tcPr>
            <w:tcW w:w="9212" w:type="dxa"/>
            <w:gridSpan w:val="3"/>
            <w:tcBorders>
              <w:top w:val="single" w:sz="12" w:space="0" w:color="auto"/>
              <w:left w:val="single" w:sz="18" w:space="0" w:color="auto"/>
              <w:bottom w:val="single" w:sz="4" w:space="0" w:color="auto"/>
              <w:right w:val="single" w:sz="18" w:space="0" w:color="auto"/>
            </w:tcBorders>
            <w:shd w:val="clear" w:color="auto" w:fill="8C8C8C"/>
            <w:vAlign w:val="center"/>
          </w:tcPr>
          <w:p w:rsidR="00DF128A" w:rsidRPr="00A80C9E" w:rsidRDefault="00DF128A" w:rsidP="00DF128A">
            <w:pPr>
              <w:widowControl w:val="0"/>
              <w:spacing w:line="276" w:lineRule="auto"/>
              <w:ind w:firstLine="709"/>
              <w:jc w:val="both"/>
              <w:rPr>
                <w:rFonts w:cstheme="minorHAnsi"/>
                <w:b/>
                <w:iCs/>
                <w:sz w:val="20"/>
                <w:szCs w:val="20"/>
              </w:rPr>
            </w:pPr>
            <w:r w:rsidRPr="00A80C9E">
              <w:rPr>
                <w:rFonts w:cstheme="minorHAnsi"/>
                <w:b/>
                <w:iCs/>
                <w:sz w:val="20"/>
                <w:szCs w:val="20"/>
              </w:rPr>
              <w:t>Karibská závislá území</w:t>
            </w:r>
          </w:p>
        </w:tc>
      </w:tr>
      <w:tr w:rsidR="00DF128A" w:rsidRPr="00DF128A" w:rsidTr="00DF128A">
        <w:trPr>
          <w:trHeight w:val="285"/>
        </w:trPr>
        <w:tc>
          <w:tcPr>
            <w:tcW w:w="4700" w:type="dxa"/>
            <w:tcBorders>
              <w:top w:val="nil"/>
              <w:left w:val="single" w:sz="18" w:space="0" w:color="auto"/>
              <w:bottom w:val="single" w:sz="4"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Belize</w:t>
            </w:r>
          </w:p>
        </w:tc>
        <w:tc>
          <w:tcPr>
            <w:tcW w:w="2256" w:type="dxa"/>
            <w:tcBorders>
              <w:top w:val="nil"/>
              <w:left w:val="double" w:sz="6" w:space="0" w:color="auto"/>
              <w:bottom w:val="single" w:sz="4"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36</w:t>
            </w:r>
          </w:p>
        </w:tc>
        <w:tc>
          <w:tcPr>
            <w:tcW w:w="2256" w:type="dxa"/>
            <w:tcBorders>
              <w:top w:val="nil"/>
              <w:left w:val="nil"/>
              <w:bottom w:val="single" w:sz="4"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36</w:t>
            </w:r>
          </w:p>
        </w:tc>
      </w:tr>
      <w:tr w:rsidR="00DF128A" w:rsidRPr="00DF128A" w:rsidTr="00DF128A">
        <w:trPr>
          <w:trHeight w:val="285"/>
        </w:trPr>
        <w:tc>
          <w:tcPr>
            <w:tcW w:w="4700" w:type="dxa"/>
            <w:tcBorders>
              <w:top w:val="nil"/>
              <w:left w:val="single" w:sz="18" w:space="0" w:color="auto"/>
              <w:bottom w:val="single" w:sz="4"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Surinam</w:t>
            </w:r>
          </w:p>
        </w:tc>
        <w:tc>
          <w:tcPr>
            <w:tcW w:w="2256" w:type="dxa"/>
            <w:tcBorders>
              <w:top w:val="nil"/>
              <w:left w:val="double" w:sz="6" w:space="0" w:color="auto"/>
              <w:bottom w:val="single" w:sz="4"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72</w:t>
            </w:r>
          </w:p>
        </w:tc>
        <w:tc>
          <w:tcPr>
            <w:tcW w:w="2256" w:type="dxa"/>
            <w:tcBorders>
              <w:top w:val="nil"/>
              <w:left w:val="nil"/>
              <w:bottom w:val="single" w:sz="4"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188</w:t>
            </w:r>
          </w:p>
        </w:tc>
      </w:tr>
      <w:tr w:rsidR="00DF128A" w:rsidRPr="00DF128A" w:rsidTr="00DF128A">
        <w:trPr>
          <w:trHeight w:val="285"/>
        </w:trPr>
        <w:tc>
          <w:tcPr>
            <w:tcW w:w="4700" w:type="dxa"/>
            <w:tcBorders>
              <w:top w:val="nil"/>
              <w:left w:val="single" w:sz="18" w:space="0" w:color="auto"/>
              <w:bottom w:val="single" w:sz="12"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Nikaragua</w:t>
            </w:r>
          </w:p>
        </w:tc>
        <w:tc>
          <w:tcPr>
            <w:tcW w:w="2256" w:type="dxa"/>
            <w:tcBorders>
              <w:top w:val="nil"/>
              <w:left w:val="double" w:sz="6" w:space="0" w:color="auto"/>
              <w:bottom w:val="single" w:sz="12"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46</w:t>
            </w:r>
          </w:p>
        </w:tc>
        <w:tc>
          <w:tcPr>
            <w:tcW w:w="2256" w:type="dxa"/>
            <w:tcBorders>
              <w:top w:val="nil"/>
              <w:left w:val="nil"/>
              <w:bottom w:val="single" w:sz="12"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41</w:t>
            </w:r>
          </w:p>
        </w:tc>
      </w:tr>
      <w:tr w:rsidR="00DF128A" w:rsidRPr="00DF128A" w:rsidTr="00DF128A">
        <w:trPr>
          <w:trHeight w:val="285"/>
        </w:trPr>
        <w:tc>
          <w:tcPr>
            <w:tcW w:w="4700" w:type="dxa"/>
            <w:tcBorders>
              <w:top w:val="single" w:sz="12" w:space="0" w:color="auto"/>
              <w:left w:val="single" w:sz="18" w:space="0" w:color="auto"/>
              <w:bottom w:val="single" w:sz="18" w:space="0" w:color="auto"/>
              <w:right w:val="nil"/>
            </w:tcBorders>
            <w:shd w:val="clear" w:color="auto" w:fill="C0C0C0"/>
            <w:noWrap/>
            <w:vAlign w:val="center"/>
          </w:tcPr>
          <w:p w:rsidR="00DF128A" w:rsidRPr="00A80C9E" w:rsidRDefault="00DF128A" w:rsidP="00DF128A">
            <w:pPr>
              <w:widowControl w:val="0"/>
              <w:spacing w:line="276" w:lineRule="auto"/>
              <w:ind w:firstLine="709"/>
              <w:jc w:val="both"/>
              <w:rPr>
                <w:rFonts w:cstheme="minorHAnsi"/>
                <w:i/>
                <w:iCs/>
                <w:sz w:val="20"/>
                <w:szCs w:val="20"/>
              </w:rPr>
            </w:pPr>
            <w:r w:rsidRPr="00A80C9E">
              <w:rPr>
                <w:rFonts w:cstheme="minorHAnsi"/>
                <w:i/>
                <w:iCs/>
                <w:sz w:val="20"/>
                <w:szCs w:val="20"/>
              </w:rPr>
              <w:t>Světový export celkem</w:t>
            </w:r>
          </w:p>
        </w:tc>
        <w:tc>
          <w:tcPr>
            <w:tcW w:w="2256" w:type="dxa"/>
            <w:tcBorders>
              <w:top w:val="single" w:sz="12" w:space="0" w:color="auto"/>
              <w:left w:val="double" w:sz="6" w:space="0" w:color="auto"/>
              <w:bottom w:val="single" w:sz="18" w:space="0" w:color="auto"/>
              <w:right w:val="single" w:sz="4"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11,922</w:t>
            </w:r>
          </w:p>
        </w:tc>
        <w:tc>
          <w:tcPr>
            <w:tcW w:w="2256" w:type="dxa"/>
            <w:tcBorders>
              <w:top w:val="single" w:sz="12" w:space="0" w:color="auto"/>
              <w:left w:val="nil"/>
              <w:bottom w:val="single" w:sz="18" w:space="0" w:color="auto"/>
              <w:right w:val="single" w:sz="18" w:space="0" w:color="auto"/>
            </w:tcBorders>
            <w:shd w:val="clear" w:color="auto" w:fill="auto"/>
            <w:noWrap/>
            <w:vAlign w:val="center"/>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12,839</w:t>
            </w:r>
          </w:p>
        </w:tc>
      </w:tr>
    </w:tbl>
    <w:p w:rsidR="00DF128A" w:rsidRPr="00DF128A" w:rsidRDefault="00DF128A" w:rsidP="00A80C9E">
      <w:pPr>
        <w:widowControl w:val="0"/>
        <w:autoSpaceDE w:val="0"/>
        <w:autoSpaceDN w:val="0"/>
        <w:adjustRightInd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Zdroj: FAO Banana Statistics 2005</w:t>
      </w:r>
      <w:r w:rsidRPr="00DF128A">
        <w:rPr>
          <w:rFonts w:ascii="Times New Roman" w:hAnsi="Times New Roman" w:cs="Times New Roman"/>
          <w:sz w:val="24"/>
          <w:szCs w:val="24"/>
        </w:rPr>
        <w:tab/>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p>
    <w:p w:rsidR="00DF128A" w:rsidRPr="00DF128A" w:rsidRDefault="00DF128A" w:rsidP="00A80C9E">
      <w:pPr>
        <w:widowControl w:val="0"/>
        <w:autoSpaceDE w:val="0"/>
        <w:autoSpaceDN w:val="0"/>
        <w:adjustRightInd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Evropa</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Evropské státy, které vyváží banány, jsou stále závislé na tomto obchodu.  Výrobní náklady v Evropských státech  jsou 2-3x vyšší než v Latinské Americe. 80 % evropských </w:t>
      </w:r>
      <w:r w:rsidRPr="00DF128A">
        <w:rPr>
          <w:rFonts w:ascii="Times New Roman" w:hAnsi="Times New Roman" w:cs="Times New Roman"/>
          <w:sz w:val="24"/>
          <w:szCs w:val="24"/>
        </w:rPr>
        <w:lastRenderedPageBreak/>
        <w:t xml:space="preserve">banánových plantáží mají méně než 5 hektarů, s výnosy 30 t/ha. Farmáři přežívají jen díky </w:t>
      </w:r>
      <w:r w:rsidRPr="00DF128A">
        <w:rPr>
          <w:rFonts w:ascii="Times New Roman" w:hAnsi="Times New Roman" w:cs="Times New Roman"/>
          <w:b/>
          <w:sz w:val="24"/>
          <w:szCs w:val="24"/>
        </w:rPr>
        <w:t>dotacím</w:t>
      </w:r>
      <w:r w:rsidRPr="00DF128A">
        <w:rPr>
          <w:rFonts w:ascii="Times New Roman" w:hAnsi="Times New Roman" w:cs="Times New Roman"/>
          <w:sz w:val="24"/>
          <w:szCs w:val="24"/>
        </w:rPr>
        <w:t>. Evropští producenti mají velkou výhodu ve srovnání s jinými producenty, protože patří do EU. EU poskytuje zemědělcům různé způsoby pomoci ať už technické či finanční. Pracovní podmínky jsou dobré – jsou v souladu se zaměstnáním a zákonem o minimální mzdě běžné v EU.</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p>
    <w:p w:rsidR="00DF128A" w:rsidRPr="00DF128A" w:rsidRDefault="00DF128A" w:rsidP="00A80C9E">
      <w:pPr>
        <w:widowControl w:val="0"/>
        <w:autoSpaceDE w:val="0"/>
        <w:autoSpaceDN w:val="0"/>
        <w:adjustRightInd w:val="0"/>
        <w:spacing w:line="276" w:lineRule="auto"/>
        <w:jc w:val="both"/>
        <w:rPr>
          <w:rFonts w:ascii="Times New Roman" w:hAnsi="Times New Roman" w:cs="Times New Roman"/>
          <w:sz w:val="24"/>
          <w:szCs w:val="24"/>
        </w:rPr>
      </w:pPr>
      <w:r w:rsidRPr="00DF128A">
        <w:rPr>
          <w:rFonts w:ascii="Times New Roman" w:hAnsi="Times New Roman" w:cs="Times New Roman"/>
          <w:b/>
          <w:sz w:val="24"/>
          <w:szCs w:val="24"/>
        </w:rPr>
        <w:t>Tab. 9.</w:t>
      </w:r>
      <w:r w:rsidRPr="00DF128A">
        <w:rPr>
          <w:rFonts w:ascii="Times New Roman" w:hAnsi="Times New Roman" w:cs="Times New Roman"/>
          <w:sz w:val="24"/>
          <w:szCs w:val="24"/>
        </w:rPr>
        <w:t xml:space="preserve"> Evropské země vyvážející banány (v tis. t) v roce 2000 a 2004.</w:t>
      </w:r>
    </w:p>
    <w:tbl>
      <w:tblPr>
        <w:tblW w:w="5000" w:type="pct"/>
        <w:tblInd w:w="55" w:type="dxa"/>
        <w:tblCellMar>
          <w:left w:w="70" w:type="dxa"/>
          <w:right w:w="70" w:type="dxa"/>
        </w:tblCellMar>
        <w:tblLook w:val="0000" w:firstRow="0" w:lastRow="0" w:firstColumn="0" w:lastColumn="0" w:noHBand="0" w:noVBand="0"/>
      </w:tblPr>
      <w:tblGrid>
        <w:gridCol w:w="4432"/>
        <w:gridCol w:w="2390"/>
        <w:gridCol w:w="2390"/>
      </w:tblGrid>
      <w:tr w:rsidR="00DF128A" w:rsidRPr="00DF128A" w:rsidTr="00DF128A">
        <w:trPr>
          <w:trHeight w:val="285"/>
        </w:trPr>
        <w:tc>
          <w:tcPr>
            <w:tcW w:w="4432" w:type="dxa"/>
            <w:tcBorders>
              <w:top w:val="single" w:sz="18" w:space="0" w:color="auto"/>
              <w:left w:val="single" w:sz="18" w:space="0" w:color="auto"/>
              <w:bottom w:val="double" w:sz="6" w:space="0" w:color="auto"/>
              <w:right w:val="double" w:sz="6" w:space="0" w:color="auto"/>
            </w:tcBorders>
            <w:shd w:val="clear" w:color="auto" w:fill="969696"/>
            <w:noWrap/>
            <w:vAlign w:val="bottom"/>
          </w:tcPr>
          <w:p w:rsidR="00DF128A" w:rsidRPr="00A80C9E" w:rsidRDefault="00DF128A" w:rsidP="00DF128A">
            <w:pPr>
              <w:widowControl w:val="0"/>
              <w:spacing w:line="276" w:lineRule="auto"/>
              <w:ind w:firstLine="709"/>
              <w:jc w:val="both"/>
              <w:rPr>
                <w:rFonts w:cstheme="minorHAnsi"/>
                <w:b/>
                <w:bCs/>
                <w:sz w:val="20"/>
                <w:szCs w:val="20"/>
              </w:rPr>
            </w:pPr>
            <w:r w:rsidRPr="00A80C9E">
              <w:rPr>
                <w:rFonts w:cstheme="minorHAnsi"/>
                <w:b/>
                <w:bCs/>
                <w:sz w:val="20"/>
                <w:szCs w:val="20"/>
              </w:rPr>
              <w:t>Stát</w:t>
            </w:r>
          </w:p>
        </w:tc>
        <w:tc>
          <w:tcPr>
            <w:tcW w:w="2390" w:type="dxa"/>
            <w:tcBorders>
              <w:top w:val="single" w:sz="18" w:space="0" w:color="auto"/>
              <w:left w:val="nil"/>
              <w:bottom w:val="double" w:sz="6" w:space="0" w:color="auto"/>
              <w:right w:val="single" w:sz="4" w:space="0" w:color="auto"/>
            </w:tcBorders>
            <w:shd w:val="clear" w:color="auto" w:fill="969696"/>
            <w:noWrap/>
            <w:vAlign w:val="bottom"/>
          </w:tcPr>
          <w:p w:rsidR="00DF128A" w:rsidRPr="00A80C9E" w:rsidRDefault="00DF128A" w:rsidP="00DF128A">
            <w:pPr>
              <w:widowControl w:val="0"/>
              <w:spacing w:line="276" w:lineRule="auto"/>
              <w:ind w:firstLine="709"/>
              <w:jc w:val="both"/>
              <w:rPr>
                <w:rFonts w:cstheme="minorHAnsi"/>
                <w:b/>
                <w:bCs/>
                <w:sz w:val="20"/>
                <w:szCs w:val="20"/>
              </w:rPr>
            </w:pPr>
            <w:r w:rsidRPr="00A80C9E">
              <w:rPr>
                <w:rFonts w:cstheme="minorHAnsi"/>
                <w:b/>
                <w:bCs/>
                <w:sz w:val="20"/>
                <w:szCs w:val="20"/>
              </w:rPr>
              <w:t>2000</w:t>
            </w:r>
          </w:p>
        </w:tc>
        <w:tc>
          <w:tcPr>
            <w:tcW w:w="2390" w:type="dxa"/>
            <w:tcBorders>
              <w:top w:val="single" w:sz="18" w:space="0" w:color="auto"/>
              <w:left w:val="nil"/>
              <w:bottom w:val="double" w:sz="6" w:space="0" w:color="auto"/>
              <w:right w:val="single" w:sz="18" w:space="0" w:color="auto"/>
            </w:tcBorders>
            <w:shd w:val="clear" w:color="auto" w:fill="969696"/>
            <w:noWrap/>
            <w:vAlign w:val="bottom"/>
          </w:tcPr>
          <w:p w:rsidR="00DF128A" w:rsidRPr="00A80C9E" w:rsidRDefault="00DF128A" w:rsidP="00DF128A">
            <w:pPr>
              <w:widowControl w:val="0"/>
              <w:spacing w:line="276" w:lineRule="auto"/>
              <w:ind w:firstLine="709"/>
              <w:jc w:val="both"/>
              <w:rPr>
                <w:rFonts w:cstheme="minorHAnsi"/>
                <w:b/>
                <w:bCs/>
                <w:sz w:val="20"/>
                <w:szCs w:val="20"/>
              </w:rPr>
            </w:pPr>
            <w:r w:rsidRPr="00A80C9E">
              <w:rPr>
                <w:rFonts w:cstheme="minorHAnsi"/>
                <w:b/>
                <w:bCs/>
                <w:sz w:val="20"/>
                <w:szCs w:val="20"/>
              </w:rPr>
              <w:t>2004</w:t>
            </w:r>
          </w:p>
        </w:tc>
      </w:tr>
      <w:tr w:rsidR="00DF128A" w:rsidRPr="00DF128A" w:rsidTr="00DF128A">
        <w:trPr>
          <w:trHeight w:val="270"/>
        </w:trPr>
        <w:tc>
          <w:tcPr>
            <w:tcW w:w="4432" w:type="dxa"/>
            <w:tcBorders>
              <w:top w:val="nil"/>
              <w:left w:val="single" w:sz="18" w:space="0" w:color="auto"/>
              <w:bottom w:val="single" w:sz="4" w:space="0" w:color="auto"/>
              <w:right w:val="double" w:sz="6" w:space="0" w:color="auto"/>
            </w:tcBorders>
            <w:shd w:val="clear" w:color="auto" w:fill="C0C0C0"/>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Kanárské ostrovy</w:t>
            </w:r>
          </w:p>
        </w:tc>
        <w:tc>
          <w:tcPr>
            <w:tcW w:w="2390" w:type="dxa"/>
            <w:tcBorders>
              <w:top w:val="nil"/>
              <w:left w:val="nil"/>
              <w:bottom w:val="single" w:sz="4" w:space="0" w:color="auto"/>
              <w:right w:val="single" w:sz="4"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398</w:t>
            </w:r>
          </w:p>
        </w:tc>
        <w:tc>
          <w:tcPr>
            <w:tcW w:w="2390" w:type="dxa"/>
            <w:tcBorders>
              <w:top w:val="nil"/>
              <w:left w:val="nil"/>
              <w:bottom w:val="single" w:sz="4" w:space="0" w:color="auto"/>
              <w:right w:val="single" w:sz="18"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418</w:t>
            </w:r>
          </w:p>
        </w:tc>
      </w:tr>
      <w:tr w:rsidR="00DF128A" w:rsidRPr="00DF128A" w:rsidTr="00DF128A">
        <w:trPr>
          <w:trHeight w:val="255"/>
        </w:trPr>
        <w:tc>
          <w:tcPr>
            <w:tcW w:w="4432" w:type="dxa"/>
            <w:tcBorders>
              <w:top w:val="nil"/>
              <w:left w:val="single" w:sz="18" w:space="0" w:color="auto"/>
              <w:bottom w:val="single" w:sz="4" w:space="0" w:color="auto"/>
              <w:right w:val="double" w:sz="6" w:space="0" w:color="auto"/>
            </w:tcBorders>
            <w:shd w:val="clear" w:color="auto" w:fill="C0C0C0"/>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Martinique</w:t>
            </w:r>
          </w:p>
        </w:tc>
        <w:tc>
          <w:tcPr>
            <w:tcW w:w="2390" w:type="dxa"/>
            <w:tcBorders>
              <w:top w:val="nil"/>
              <w:left w:val="nil"/>
              <w:bottom w:val="single" w:sz="4" w:space="0" w:color="auto"/>
              <w:right w:val="single" w:sz="4"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271</w:t>
            </w:r>
          </w:p>
        </w:tc>
        <w:tc>
          <w:tcPr>
            <w:tcW w:w="2390" w:type="dxa"/>
            <w:tcBorders>
              <w:top w:val="nil"/>
              <w:left w:val="nil"/>
              <w:bottom w:val="single" w:sz="4" w:space="0" w:color="auto"/>
              <w:right w:val="single" w:sz="18"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246</w:t>
            </w:r>
          </w:p>
        </w:tc>
      </w:tr>
      <w:tr w:rsidR="00DF128A" w:rsidRPr="00DF128A" w:rsidTr="00DF128A">
        <w:trPr>
          <w:trHeight w:val="255"/>
        </w:trPr>
        <w:tc>
          <w:tcPr>
            <w:tcW w:w="4432" w:type="dxa"/>
            <w:tcBorders>
              <w:top w:val="nil"/>
              <w:left w:val="single" w:sz="18" w:space="0" w:color="auto"/>
              <w:bottom w:val="single" w:sz="4" w:space="0" w:color="auto"/>
              <w:right w:val="double" w:sz="6" w:space="0" w:color="auto"/>
            </w:tcBorders>
            <w:shd w:val="clear" w:color="auto" w:fill="C0C0C0"/>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Guadeloupe</w:t>
            </w:r>
          </w:p>
        </w:tc>
        <w:tc>
          <w:tcPr>
            <w:tcW w:w="2390" w:type="dxa"/>
            <w:tcBorders>
              <w:top w:val="nil"/>
              <w:left w:val="nil"/>
              <w:bottom w:val="single" w:sz="4" w:space="0" w:color="auto"/>
              <w:right w:val="single" w:sz="4"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88</w:t>
            </w:r>
          </w:p>
        </w:tc>
        <w:tc>
          <w:tcPr>
            <w:tcW w:w="2390" w:type="dxa"/>
            <w:tcBorders>
              <w:top w:val="nil"/>
              <w:left w:val="nil"/>
              <w:bottom w:val="single" w:sz="4" w:space="0" w:color="auto"/>
              <w:right w:val="single" w:sz="18"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59</w:t>
            </w:r>
          </w:p>
        </w:tc>
      </w:tr>
      <w:tr w:rsidR="00DF128A" w:rsidRPr="00DF128A" w:rsidTr="00DF128A">
        <w:trPr>
          <w:trHeight w:val="255"/>
        </w:trPr>
        <w:tc>
          <w:tcPr>
            <w:tcW w:w="4432" w:type="dxa"/>
            <w:tcBorders>
              <w:top w:val="nil"/>
              <w:left w:val="single" w:sz="18" w:space="0" w:color="auto"/>
              <w:bottom w:val="single" w:sz="4" w:space="0" w:color="auto"/>
              <w:right w:val="double" w:sz="6" w:space="0" w:color="auto"/>
            </w:tcBorders>
            <w:shd w:val="clear" w:color="auto" w:fill="C0C0C0"/>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Azory a Madeira</w:t>
            </w:r>
          </w:p>
        </w:tc>
        <w:tc>
          <w:tcPr>
            <w:tcW w:w="2390" w:type="dxa"/>
            <w:tcBorders>
              <w:top w:val="nil"/>
              <w:left w:val="nil"/>
              <w:bottom w:val="single" w:sz="4" w:space="0" w:color="auto"/>
              <w:right w:val="single" w:sz="4"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22</w:t>
            </w:r>
          </w:p>
        </w:tc>
        <w:tc>
          <w:tcPr>
            <w:tcW w:w="2390" w:type="dxa"/>
            <w:tcBorders>
              <w:top w:val="nil"/>
              <w:left w:val="nil"/>
              <w:bottom w:val="single" w:sz="4" w:space="0" w:color="auto"/>
              <w:right w:val="single" w:sz="18"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21</w:t>
            </w:r>
          </w:p>
        </w:tc>
      </w:tr>
      <w:tr w:rsidR="00DF128A" w:rsidRPr="00DF128A" w:rsidTr="00DF128A">
        <w:trPr>
          <w:trHeight w:val="270"/>
        </w:trPr>
        <w:tc>
          <w:tcPr>
            <w:tcW w:w="4432" w:type="dxa"/>
            <w:tcBorders>
              <w:top w:val="nil"/>
              <w:left w:val="single" w:sz="18" w:space="0" w:color="auto"/>
              <w:bottom w:val="single" w:sz="12" w:space="0" w:color="auto"/>
              <w:right w:val="double" w:sz="6" w:space="0" w:color="auto"/>
            </w:tcBorders>
            <w:shd w:val="clear" w:color="auto" w:fill="C0C0C0"/>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Kréta</w:t>
            </w:r>
          </w:p>
        </w:tc>
        <w:tc>
          <w:tcPr>
            <w:tcW w:w="2390" w:type="dxa"/>
            <w:tcBorders>
              <w:top w:val="nil"/>
              <w:left w:val="nil"/>
              <w:bottom w:val="single" w:sz="12" w:space="0" w:color="auto"/>
              <w:right w:val="single" w:sz="4"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3</w:t>
            </w:r>
          </w:p>
        </w:tc>
        <w:tc>
          <w:tcPr>
            <w:tcW w:w="2390" w:type="dxa"/>
            <w:tcBorders>
              <w:top w:val="nil"/>
              <w:left w:val="nil"/>
              <w:bottom w:val="single" w:sz="12" w:space="0" w:color="auto"/>
              <w:right w:val="single" w:sz="18"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3</w:t>
            </w:r>
          </w:p>
        </w:tc>
      </w:tr>
      <w:tr w:rsidR="00DF128A" w:rsidRPr="00DF128A" w:rsidTr="00DF128A">
        <w:trPr>
          <w:trHeight w:val="270"/>
        </w:trPr>
        <w:tc>
          <w:tcPr>
            <w:tcW w:w="4432" w:type="dxa"/>
            <w:tcBorders>
              <w:top w:val="single" w:sz="12" w:space="0" w:color="auto"/>
              <w:left w:val="single" w:sz="18" w:space="0" w:color="auto"/>
              <w:bottom w:val="single" w:sz="18" w:space="0" w:color="auto"/>
              <w:right w:val="double" w:sz="6" w:space="0" w:color="auto"/>
            </w:tcBorders>
            <w:shd w:val="clear" w:color="auto" w:fill="C0C0C0"/>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Světový export celkem</w:t>
            </w:r>
          </w:p>
        </w:tc>
        <w:tc>
          <w:tcPr>
            <w:tcW w:w="2390" w:type="dxa"/>
            <w:tcBorders>
              <w:top w:val="single" w:sz="12" w:space="0" w:color="auto"/>
              <w:left w:val="nil"/>
              <w:bottom w:val="single" w:sz="18" w:space="0" w:color="auto"/>
              <w:right w:val="single" w:sz="4"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11,922</w:t>
            </w:r>
          </w:p>
        </w:tc>
        <w:tc>
          <w:tcPr>
            <w:tcW w:w="2390" w:type="dxa"/>
            <w:tcBorders>
              <w:top w:val="single" w:sz="12" w:space="0" w:color="auto"/>
              <w:left w:val="nil"/>
              <w:bottom w:val="single" w:sz="18" w:space="0" w:color="auto"/>
              <w:right w:val="single" w:sz="18" w:space="0" w:color="auto"/>
            </w:tcBorders>
            <w:shd w:val="clear" w:color="auto" w:fill="auto"/>
            <w:noWrap/>
            <w:vAlign w:val="bottom"/>
          </w:tcPr>
          <w:p w:rsidR="00DF128A" w:rsidRPr="00A80C9E" w:rsidRDefault="00DF128A" w:rsidP="00DF128A">
            <w:pPr>
              <w:widowControl w:val="0"/>
              <w:spacing w:line="276" w:lineRule="auto"/>
              <w:ind w:firstLine="709"/>
              <w:jc w:val="both"/>
              <w:rPr>
                <w:rFonts w:cstheme="minorHAnsi"/>
                <w:sz w:val="20"/>
                <w:szCs w:val="20"/>
              </w:rPr>
            </w:pPr>
            <w:r w:rsidRPr="00A80C9E">
              <w:rPr>
                <w:rFonts w:cstheme="minorHAnsi"/>
                <w:sz w:val="20"/>
                <w:szCs w:val="20"/>
              </w:rPr>
              <w:t>12,839</w:t>
            </w:r>
          </w:p>
        </w:tc>
      </w:tr>
    </w:tbl>
    <w:p w:rsidR="00DF128A" w:rsidRPr="00DF128A" w:rsidRDefault="00DF128A" w:rsidP="00A80C9E">
      <w:pPr>
        <w:widowControl w:val="0"/>
        <w:autoSpaceDE w:val="0"/>
        <w:autoSpaceDN w:val="0"/>
        <w:adjustRightInd w:val="0"/>
        <w:spacing w:line="276" w:lineRule="auto"/>
        <w:jc w:val="both"/>
        <w:rPr>
          <w:rFonts w:ascii="Times New Roman" w:hAnsi="Times New Roman" w:cs="Times New Roman"/>
          <w:color w:val="000000"/>
          <w:sz w:val="24"/>
          <w:szCs w:val="24"/>
        </w:rPr>
      </w:pPr>
      <w:r w:rsidRPr="00DF128A">
        <w:rPr>
          <w:rFonts w:ascii="Times New Roman" w:hAnsi="Times New Roman" w:cs="Times New Roman"/>
          <w:color w:val="000000"/>
          <w:sz w:val="24"/>
          <w:szCs w:val="24"/>
        </w:rPr>
        <w:t>Zdroj: FAO Banana Statistics 2005</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color w:val="000000"/>
          <w:sz w:val="24"/>
          <w:szCs w:val="24"/>
        </w:rPr>
      </w:pPr>
    </w:p>
    <w:p w:rsidR="00DF128A" w:rsidRPr="00DF128A" w:rsidRDefault="00DF128A" w:rsidP="00A80C9E">
      <w:pPr>
        <w:widowControl w:val="0"/>
        <w:autoSpaceDE w:val="0"/>
        <w:autoSpaceDN w:val="0"/>
        <w:adjustRightInd w:val="0"/>
        <w:spacing w:line="276" w:lineRule="auto"/>
        <w:jc w:val="both"/>
        <w:rPr>
          <w:rFonts w:ascii="Times New Roman" w:hAnsi="Times New Roman" w:cs="Times New Roman"/>
          <w:b/>
          <w:color w:val="000000"/>
          <w:sz w:val="24"/>
          <w:szCs w:val="24"/>
        </w:rPr>
      </w:pPr>
      <w:r w:rsidRPr="00DF128A">
        <w:rPr>
          <w:rFonts w:ascii="Times New Roman" w:hAnsi="Times New Roman" w:cs="Times New Roman"/>
          <w:b/>
          <w:color w:val="000000"/>
          <w:sz w:val="24"/>
          <w:szCs w:val="24"/>
        </w:rPr>
        <w:t xml:space="preserve"> B</w:t>
      </w:r>
      <w:r w:rsidR="00E20A69">
        <w:rPr>
          <w:rFonts w:ascii="Times New Roman" w:hAnsi="Times New Roman" w:cs="Times New Roman"/>
          <w:b/>
          <w:color w:val="000000"/>
          <w:sz w:val="24"/>
          <w:szCs w:val="24"/>
        </w:rPr>
        <w:t>udoucnost</w:t>
      </w:r>
    </w:p>
    <w:p w:rsidR="00DF128A" w:rsidRPr="00DF128A" w:rsidRDefault="00DF128A" w:rsidP="00DF128A">
      <w:pPr>
        <w:pStyle w:val="Normlnweb"/>
        <w:widowControl w:val="0"/>
        <w:spacing w:before="0" w:beforeAutospacing="0" w:after="0" w:afterAutospacing="0" w:line="276" w:lineRule="auto"/>
        <w:ind w:firstLine="709"/>
        <w:jc w:val="both"/>
        <w:rPr>
          <w:rStyle w:val="Zvraznn"/>
        </w:rPr>
      </w:pPr>
      <w:r w:rsidRPr="00DF128A">
        <w:rPr>
          <w:rStyle w:val="Zvraznn"/>
        </w:rPr>
        <w:t>Volný obchod je nespravedlivý, protože různí výrobci mají různé podmínky přístupu na trh. Podmínky jsou dány velikostí přímých i nepřímých podpor, které výrobci dostávají od svých vlád - čím bohatší země, tím více podpory. Nadnárodní společnosti a velké firmy jsou dnešními pravidly mezinárodního obchodu zvýhodňovány na úkor menš</w:t>
      </w:r>
      <w:r w:rsidR="00BC5C10">
        <w:rPr>
          <w:rStyle w:val="Zvraznn"/>
        </w:rPr>
        <w:t xml:space="preserve">ích či lokálních producentů. </w:t>
      </w:r>
      <w:r w:rsidR="00BC5C10" w:rsidRPr="00BC5C10">
        <w:rPr>
          <w:rStyle w:val="Zvraznn"/>
          <w:i w:val="0"/>
        </w:rPr>
        <w:t>(Land</w:t>
      </w:r>
      <w:r w:rsidR="00BC5C10">
        <w:rPr>
          <w:rStyle w:val="Zvraznn"/>
          <w:i w:val="0"/>
        </w:rPr>
        <w:t>ivar</w:t>
      </w:r>
      <w:r w:rsidRPr="00BC5C10">
        <w:rPr>
          <w:rStyle w:val="Zvraznn"/>
          <w:i w:val="0"/>
        </w:rPr>
        <w:t xml:space="preserve"> 2005)</w:t>
      </w:r>
    </w:p>
    <w:p w:rsidR="00DF128A" w:rsidRPr="00DF128A" w:rsidRDefault="00DF128A" w:rsidP="00DF128A">
      <w:pPr>
        <w:pStyle w:val="Normlnweb"/>
        <w:widowControl w:val="0"/>
        <w:spacing w:before="0" w:beforeAutospacing="0" w:after="0" w:afterAutospacing="0" w:line="276" w:lineRule="auto"/>
        <w:ind w:firstLine="709"/>
        <w:jc w:val="both"/>
      </w:pPr>
      <w:r w:rsidRPr="00DF128A">
        <w:t xml:space="preserve">Spravedlivý obchod s banány se snaží, aby v krátké době zajistil práva malých a středních producentů a ochranu práce na plantážích a aby dlouhodobě umožňoval změnu struktury banánového průmyslu. Jsou zde dvě cesty jak v Evropě podpořit spravedlivý obchod s banány. Jedna je politickým tlakem na instituce EU přes různé nevládní organizace (NGO) jednotlivých evropských zemí. Banánová kampaň je svaz rozvojových NGO, který vznikl v roce 1993 a zaměřuje se na smysluplnou politickou reformu uspořádání evropského trhu. Banánová kampaň, společně s evropskou NGO - Síť pro obchod s banány EUROBAN, usiluje o takové celní předpisy, které by umožnily příjmy znovu investovat do produkce příznivé pro sociální sféru i pro životní prostředí, a které by podporovaly poškozené malé producenty. Druhá cesta je komerční strategie. </w:t>
      </w:r>
    </w:p>
    <w:p w:rsidR="00DF128A" w:rsidRPr="00DF128A" w:rsidRDefault="00DF128A" w:rsidP="00DF128A">
      <w:pPr>
        <w:pStyle w:val="Normlnweb"/>
        <w:widowControl w:val="0"/>
        <w:spacing w:before="0" w:beforeAutospacing="0" w:after="0" w:afterAutospacing="0" w:line="276" w:lineRule="auto"/>
        <w:ind w:firstLine="709"/>
        <w:jc w:val="both"/>
      </w:pPr>
      <w:r w:rsidRPr="00DF128A">
        <w:t>Průkopníkem řešení situace pomocí komerční strategie - Spravedlivého obchodu s banány - je v Německu spolek Bananafair</w:t>
      </w:r>
      <w:r w:rsidRPr="00DF128A">
        <w:rPr>
          <w:rStyle w:val="Znakapoznpodarou"/>
        </w:rPr>
        <w:footnoteReference w:id="33"/>
      </w:r>
      <w:r w:rsidRPr="00DF128A">
        <w:t xml:space="preserve">, který dováží a prodává banány z Ekvádoru, Karibiku a Kostariky. Předpokladem pro spolupráci je dodržování </w:t>
      </w:r>
      <w:r w:rsidRPr="00DF128A">
        <w:rPr>
          <w:i/>
        </w:rPr>
        <w:t>sociálních standardů</w:t>
      </w:r>
      <w:r w:rsidRPr="00DF128A">
        <w:t xml:space="preserve"> při produkci. K tomu se mimo jiné počítá povinnost pojištění pracovníků. Od roku 1998 prodává Bananafair banány od svazu malých ekvádorských pěstitelů banánů UROCAL</w:t>
      </w:r>
      <w:r w:rsidRPr="00DF128A">
        <w:rPr>
          <w:rStyle w:val="Znakapoznpodarou"/>
        </w:rPr>
        <w:footnoteReference w:id="34"/>
      </w:r>
      <w:r w:rsidRPr="00DF128A">
        <w:t xml:space="preserve">. Vzhledem k lepší ceně a dlouhodobé spolupráci může docházet ke zlepšování pracovních i životních podmínek těchto malých producentů. Dalším cílem této organizace je „ekologizace“ </w:t>
      </w:r>
      <w:r w:rsidRPr="00DF128A">
        <w:lastRenderedPageBreak/>
        <w:t>produkce, což znamená upuštění od používání jedovatých herbicidů a pesticidů během pěstování banánů. UROCAL produkuje bio-banány, které jsou certifikovány podle nařízení EU o ekologickém zemědělství. (L</w:t>
      </w:r>
      <w:r w:rsidR="00BC5C10">
        <w:t>andivar</w:t>
      </w:r>
      <w:r w:rsidRPr="00DF128A">
        <w:t xml:space="preserve"> 2005)</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color w:val="000000"/>
          <w:sz w:val="24"/>
          <w:szCs w:val="24"/>
        </w:rPr>
      </w:pPr>
    </w:p>
    <w:p w:rsidR="00DF128A" w:rsidRPr="00DF128A" w:rsidRDefault="00DF128A" w:rsidP="00A80C9E">
      <w:pPr>
        <w:widowControl w:val="0"/>
        <w:autoSpaceDE w:val="0"/>
        <w:autoSpaceDN w:val="0"/>
        <w:adjustRightInd w:val="0"/>
        <w:spacing w:line="276" w:lineRule="auto"/>
        <w:jc w:val="both"/>
        <w:rPr>
          <w:rFonts w:ascii="Times New Roman" w:hAnsi="Times New Roman" w:cs="Times New Roman"/>
          <w:b/>
          <w:color w:val="000000"/>
          <w:sz w:val="24"/>
          <w:szCs w:val="24"/>
        </w:rPr>
      </w:pPr>
      <w:r w:rsidRPr="00DF128A">
        <w:rPr>
          <w:rFonts w:ascii="Times New Roman" w:hAnsi="Times New Roman" w:cs="Times New Roman"/>
          <w:b/>
          <w:color w:val="000000"/>
          <w:sz w:val="24"/>
          <w:szCs w:val="24"/>
        </w:rPr>
        <w:t>Z</w:t>
      </w:r>
      <w:r w:rsidR="00E20A69">
        <w:rPr>
          <w:rFonts w:ascii="Times New Roman" w:hAnsi="Times New Roman" w:cs="Times New Roman"/>
          <w:b/>
          <w:color w:val="000000"/>
          <w:sz w:val="24"/>
          <w:szCs w:val="24"/>
        </w:rPr>
        <w:t>ávěr</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color w:val="000000"/>
          <w:sz w:val="24"/>
          <w:szCs w:val="24"/>
        </w:rPr>
      </w:pPr>
      <w:r w:rsidRPr="00DF128A">
        <w:rPr>
          <w:rFonts w:ascii="Times New Roman" w:hAnsi="Times New Roman" w:cs="Times New Roman"/>
          <w:color w:val="000000"/>
          <w:sz w:val="24"/>
          <w:szCs w:val="24"/>
        </w:rPr>
        <w:t xml:space="preserve">Cílem této práce bylo poukázat na fatální dopady, které způsobuje banánový obchod. Ceny banánů (tzv. </w:t>
      </w:r>
      <w:r w:rsidRPr="00DF128A">
        <w:rPr>
          <w:rFonts w:ascii="Times New Roman" w:hAnsi="Times New Roman" w:cs="Times New Roman"/>
          <w:sz w:val="24"/>
          <w:szCs w:val="24"/>
        </w:rPr>
        <w:t>„dolarových“ banánů)</w:t>
      </w:r>
      <w:r w:rsidRPr="00DF128A">
        <w:rPr>
          <w:rFonts w:ascii="Times New Roman" w:hAnsi="Times New Roman" w:cs="Times New Roman"/>
          <w:color w:val="000000"/>
          <w:sz w:val="24"/>
          <w:szCs w:val="24"/>
        </w:rPr>
        <w:t xml:space="preserve"> vyvážených ze států Latinské Ameriky jsou tak nízké hlavně proto, že se nezapočítává do jejich konečné ceny vliv na životní prostředí a na zdraví lidí (externality) pracujících ve velmi náročných podmínkách. Lze jen doufat, že v následujících letech, budou existovat jiné alternativy – jako například fair trade, které zlepší životní podmínky pracovníků plantáží.  </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color w:val="000000"/>
          <w:sz w:val="24"/>
          <w:szCs w:val="24"/>
        </w:rPr>
      </w:pPr>
      <w:r w:rsidRPr="00DF128A">
        <w:rPr>
          <w:rFonts w:ascii="Times New Roman" w:hAnsi="Times New Roman" w:cs="Times New Roman"/>
          <w:color w:val="000000"/>
          <w:sz w:val="24"/>
          <w:szCs w:val="24"/>
        </w:rPr>
        <w:t xml:space="preserve">Myslím si, že se jedná o velmi zajímavou alternativu </w:t>
      </w:r>
      <w:r w:rsidRPr="00DF128A">
        <w:rPr>
          <w:rFonts w:ascii="Times New Roman" w:hAnsi="Times New Roman" w:cs="Times New Roman"/>
          <w:sz w:val="24"/>
          <w:szCs w:val="24"/>
        </w:rPr>
        <w:t>k současnému mezinárodnímu obchodu, jehož jediným měřítkem je zisk. Právě Fairtrade může být chápán jako obchod, kterému nejde jen o zisk, ale též o zachování lidské důstojnosti. Pokud my (jakož to konzumenti) dáme přednost tomuto druhu obchodování, lze to chápat jako projev solidarity a uvědomělého spotřebitelského chování. Koupí banánů je možné přímo ovlivnit životy lidí, kteří tyto plodiny či výrobky pěstují či vyrábějí. A to si myslím, že za „finanční oběť“</w:t>
      </w:r>
      <w:r w:rsidR="00B038A1">
        <w:rPr>
          <w:rFonts w:ascii="Times New Roman" w:hAnsi="Times New Roman" w:cs="Times New Roman"/>
          <w:sz w:val="24"/>
          <w:szCs w:val="24"/>
        </w:rPr>
        <w:t xml:space="preserve"> </w:t>
      </w:r>
      <w:r w:rsidRPr="00DF128A">
        <w:rPr>
          <w:rFonts w:ascii="Times New Roman" w:hAnsi="Times New Roman" w:cs="Times New Roman"/>
          <w:sz w:val="24"/>
          <w:szCs w:val="24"/>
        </w:rPr>
        <w:t xml:space="preserve">stojí.  </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color w:val="000000"/>
          <w:sz w:val="24"/>
          <w:szCs w:val="24"/>
        </w:rPr>
      </w:pPr>
    </w:p>
    <w:p w:rsidR="00DF128A" w:rsidRPr="00A80C9E" w:rsidRDefault="00A80C9E" w:rsidP="00A80C9E">
      <w:pPr>
        <w:widowControl w:val="0"/>
        <w:autoSpaceDE w:val="0"/>
        <w:autoSpaceDN w:val="0"/>
        <w:adjustRightInd w:val="0"/>
        <w:spacing w:line="276" w:lineRule="auto"/>
        <w:jc w:val="both"/>
        <w:rPr>
          <w:rFonts w:ascii="Times New Roman" w:hAnsi="Times New Roman" w:cs="Times New Roman"/>
          <w:b/>
          <w:color w:val="000000"/>
          <w:sz w:val="24"/>
          <w:szCs w:val="24"/>
        </w:rPr>
      </w:pPr>
      <w:r>
        <w:rPr>
          <w:rFonts w:ascii="Times New Roman" w:hAnsi="Times New Roman" w:cs="Times New Roman"/>
          <w:color w:val="000000"/>
          <w:sz w:val="24"/>
          <w:szCs w:val="24"/>
        </w:rPr>
        <w:t>LITERATURA A ZDROJE</w:t>
      </w:r>
      <w:r w:rsidR="00567FA7">
        <w:rPr>
          <w:rFonts w:ascii="Times New Roman" w:hAnsi="Times New Roman" w:cs="Times New Roman"/>
          <w:color w:val="000000"/>
          <w:sz w:val="24"/>
          <w:szCs w:val="24"/>
        </w:rPr>
        <w:t>:</w:t>
      </w:r>
    </w:p>
    <w:p w:rsidR="00DF128A" w:rsidRPr="00567FA7" w:rsidRDefault="00DF128A" w:rsidP="00567FA7">
      <w:pPr>
        <w:widowControl w:val="0"/>
        <w:spacing w:after="120" w:line="276" w:lineRule="auto"/>
        <w:jc w:val="both"/>
        <w:rPr>
          <w:rFonts w:ascii="Times New Roman" w:hAnsi="Times New Roman" w:cs="Times New Roman"/>
          <w:iCs/>
          <w:sz w:val="20"/>
          <w:szCs w:val="20"/>
        </w:rPr>
      </w:pPr>
      <w:r w:rsidRPr="00567FA7">
        <w:rPr>
          <w:rFonts w:ascii="Times New Roman" w:hAnsi="Times New Roman" w:cs="Times New Roman"/>
          <w:iCs/>
          <w:sz w:val="20"/>
          <w:szCs w:val="20"/>
        </w:rPr>
        <w:t>P</w:t>
      </w:r>
      <w:r w:rsidR="00567FA7" w:rsidRPr="00567FA7">
        <w:rPr>
          <w:rFonts w:ascii="Times New Roman" w:hAnsi="Times New Roman" w:cs="Times New Roman"/>
          <w:iCs/>
          <w:sz w:val="20"/>
          <w:szCs w:val="20"/>
        </w:rPr>
        <w:t>enn,</w:t>
      </w:r>
      <w:r w:rsidRPr="00567FA7">
        <w:rPr>
          <w:rFonts w:ascii="Times New Roman" w:hAnsi="Times New Roman" w:cs="Times New Roman"/>
          <w:iCs/>
          <w:sz w:val="20"/>
          <w:szCs w:val="20"/>
        </w:rPr>
        <w:t xml:space="preserve"> M. (2007): Vnější obchodní vztahy EU se zaměřením na obchodní vztahy s USA. Bakalářská práce, Masarykova univerzita. Ekonomicko-správní fakulta. Brno, 47 s.</w:t>
      </w:r>
    </w:p>
    <w:p w:rsidR="00DF128A" w:rsidRPr="00567FA7" w:rsidRDefault="00DF128A" w:rsidP="00567FA7">
      <w:pPr>
        <w:widowControl w:val="0"/>
        <w:spacing w:after="120" w:line="276" w:lineRule="auto"/>
        <w:jc w:val="both"/>
        <w:rPr>
          <w:rFonts w:ascii="Times New Roman" w:hAnsi="Times New Roman" w:cs="Times New Roman"/>
          <w:iCs/>
          <w:sz w:val="20"/>
          <w:szCs w:val="20"/>
        </w:rPr>
      </w:pPr>
      <w:r w:rsidRPr="00567FA7">
        <w:rPr>
          <w:rFonts w:ascii="Times New Roman" w:hAnsi="Times New Roman" w:cs="Times New Roman"/>
          <w:i/>
          <w:iCs/>
          <w:sz w:val="20"/>
          <w:szCs w:val="20"/>
        </w:rPr>
        <w:t>Social and Environmental impacts</w:t>
      </w:r>
      <w:r w:rsidRPr="00567FA7">
        <w:rPr>
          <w:rFonts w:ascii="Times New Roman" w:hAnsi="Times New Roman" w:cs="Times New Roman"/>
          <w:iCs/>
          <w:sz w:val="20"/>
          <w:szCs w:val="20"/>
        </w:rPr>
        <w:t xml:space="preserve"> </w:t>
      </w:r>
      <w:r w:rsidR="00567FA7" w:rsidRPr="00567FA7">
        <w:rPr>
          <w:rFonts w:ascii="Times New Roman" w:hAnsi="Times New Roman" w:cs="Times New Roman"/>
          <w:iCs/>
          <w:sz w:val="20"/>
          <w:szCs w:val="20"/>
        </w:rPr>
        <w:t>B</w:t>
      </w:r>
      <w:r w:rsidR="00567FA7">
        <w:rPr>
          <w:rFonts w:ascii="Times New Roman" w:hAnsi="Times New Roman" w:cs="Times New Roman"/>
          <w:iCs/>
          <w:sz w:val="20"/>
          <w:szCs w:val="20"/>
        </w:rPr>
        <w:t>ananalink,</w:t>
      </w:r>
      <w:r w:rsidR="00567FA7" w:rsidRPr="00567FA7">
        <w:rPr>
          <w:rFonts w:ascii="Times New Roman" w:hAnsi="Times New Roman" w:cs="Times New Roman"/>
          <w:iCs/>
          <w:sz w:val="20"/>
          <w:szCs w:val="20"/>
        </w:rPr>
        <w:t xml:space="preserve"> </w:t>
      </w:r>
      <w:r w:rsidR="00567FA7">
        <w:rPr>
          <w:rFonts w:ascii="Times New Roman" w:hAnsi="Times New Roman" w:cs="Times New Roman"/>
          <w:iCs/>
          <w:sz w:val="20"/>
          <w:szCs w:val="20"/>
        </w:rPr>
        <w:t>2005.</w:t>
      </w:r>
      <w:r w:rsidRPr="00567FA7">
        <w:rPr>
          <w:rFonts w:ascii="Times New Roman" w:hAnsi="Times New Roman" w:cs="Times New Roman"/>
          <w:iCs/>
          <w:sz w:val="20"/>
          <w:szCs w:val="20"/>
        </w:rPr>
        <w:t xml:space="preserve"> </w:t>
      </w:r>
      <w:r w:rsidR="00567FA7" w:rsidRPr="0012130E">
        <w:rPr>
          <w:rFonts w:ascii="Times New Roman" w:hAnsi="Times New Roman" w:cs="Times New Roman"/>
          <w:sz w:val="20"/>
          <w:szCs w:val="20"/>
        </w:rPr>
        <w:t xml:space="preserve">[cit. 20. července 2011]. Dostupný online </w:t>
      </w:r>
      <w:r w:rsidR="00567FA7" w:rsidRPr="0012130E">
        <w:rPr>
          <w:rFonts w:ascii="Times New Roman" w:hAnsi="Times New Roman" w:cs="Times New Roman"/>
          <w:iCs/>
          <w:sz w:val="20"/>
          <w:szCs w:val="20"/>
        </w:rPr>
        <w:t>&lt;</w:t>
      </w:r>
      <w:r w:rsidRPr="00567FA7">
        <w:rPr>
          <w:rFonts w:ascii="Times New Roman" w:hAnsi="Times New Roman" w:cs="Times New Roman"/>
          <w:iCs/>
          <w:sz w:val="20"/>
          <w:szCs w:val="20"/>
        </w:rPr>
        <w:t>http://www.bananalink.org.uk/index.php?option=com_frontpage&amp;Itemid=1&gt;.</w:t>
      </w:r>
    </w:p>
    <w:p w:rsidR="00DF128A" w:rsidRPr="00567FA7" w:rsidRDefault="00DF128A" w:rsidP="00567FA7">
      <w:pPr>
        <w:widowControl w:val="0"/>
        <w:spacing w:after="120" w:line="276" w:lineRule="auto"/>
        <w:jc w:val="both"/>
        <w:rPr>
          <w:rFonts w:ascii="Times New Roman" w:hAnsi="Times New Roman" w:cs="Times New Roman"/>
          <w:iCs/>
          <w:sz w:val="20"/>
          <w:szCs w:val="20"/>
        </w:rPr>
      </w:pPr>
      <w:r w:rsidRPr="00567FA7">
        <w:rPr>
          <w:rFonts w:ascii="Times New Roman" w:hAnsi="Times New Roman" w:cs="Times New Roman"/>
          <w:i/>
          <w:iCs/>
          <w:sz w:val="20"/>
          <w:szCs w:val="20"/>
        </w:rPr>
        <w:t>What is at stake in world trade</w:t>
      </w:r>
      <w:r w:rsidRPr="00567FA7">
        <w:rPr>
          <w:rFonts w:ascii="Times New Roman" w:hAnsi="Times New Roman" w:cs="Times New Roman"/>
          <w:iCs/>
          <w:sz w:val="20"/>
          <w:szCs w:val="20"/>
        </w:rPr>
        <w:t xml:space="preserve"> </w:t>
      </w:r>
      <w:r w:rsidR="00567FA7">
        <w:rPr>
          <w:rFonts w:ascii="Times New Roman" w:hAnsi="Times New Roman" w:cs="Times New Roman"/>
          <w:iCs/>
          <w:sz w:val="20"/>
          <w:szCs w:val="20"/>
        </w:rPr>
        <w:t xml:space="preserve">EFTA, </w:t>
      </w:r>
      <w:r w:rsidRPr="00567FA7">
        <w:rPr>
          <w:rFonts w:ascii="Times New Roman" w:hAnsi="Times New Roman" w:cs="Times New Roman"/>
          <w:iCs/>
          <w:sz w:val="20"/>
          <w:szCs w:val="20"/>
        </w:rPr>
        <w:t>2007</w:t>
      </w:r>
      <w:r w:rsidR="00567FA7">
        <w:rPr>
          <w:rFonts w:ascii="Times New Roman" w:hAnsi="Times New Roman" w:cs="Times New Roman"/>
          <w:iCs/>
          <w:sz w:val="20"/>
          <w:szCs w:val="20"/>
        </w:rPr>
        <w:t xml:space="preserve">. </w:t>
      </w:r>
      <w:r w:rsidR="00567FA7" w:rsidRPr="0012130E">
        <w:rPr>
          <w:rFonts w:ascii="Times New Roman" w:hAnsi="Times New Roman" w:cs="Times New Roman"/>
          <w:sz w:val="20"/>
          <w:szCs w:val="20"/>
        </w:rPr>
        <w:t xml:space="preserve">[cit. 20. července 2011]. Dostupný online </w:t>
      </w:r>
      <w:r w:rsidR="00567FA7" w:rsidRPr="0012130E">
        <w:rPr>
          <w:rFonts w:ascii="Times New Roman" w:hAnsi="Times New Roman" w:cs="Times New Roman"/>
          <w:iCs/>
          <w:sz w:val="20"/>
          <w:szCs w:val="20"/>
        </w:rPr>
        <w:t>&lt;</w:t>
      </w:r>
      <w:r w:rsidRPr="00567FA7">
        <w:rPr>
          <w:rFonts w:ascii="Times New Roman" w:hAnsi="Times New Roman" w:cs="Times New Roman"/>
          <w:iCs/>
          <w:sz w:val="20"/>
          <w:szCs w:val="20"/>
        </w:rPr>
        <w:t>http:// www.european-fair-trade-association.org/Efta/Doc/yb01-en.pdf&gt;.</w:t>
      </w:r>
    </w:p>
    <w:p w:rsidR="00DF128A" w:rsidRPr="00567FA7" w:rsidRDefault="00567FA7" w:rsidP="00567FA7">
      <w:pPr>
        <w:widowControl w:val="0"/>
        <w:spacing w:after="120" w:line="276" w:lineRule="auto"/>
        <w:jc w:val="both"/>
        <w:rPr>
          <w:rFonts w:ascii="Times New Roman" w:hAnsi="Times New Roman" w:cs="Times New Roman"/>
          <w:iCs/>
          <w:sz w:val="20"/>
          <w:szCs w:val="20"/>
        </w:rPr>
      </w:pPr>
      <w:r>
        <w:rPr>
          <w:rFonts w:ascii="Times New Roman" w:hAnsi="Times New Roman" w:cs="Times New Roman"/>
          <w:i/>
          <w:iCs/>
          <w:sz w:val="20"/>
          <w:szCs w:val="20"/>
        </w:rPr>
        <w:t xml:space="preserve">Food and agricultural organization, </w:t>
      </w:r>
      <w:r w:rsidR="00DF128A" w:rsidRPr="00567FA7">
        <w:rPr>
          <w:rFonts w:ascii="Times New Roman" w:hAnsi="Times New Roman" w:cs="Times New Roman"/>
          <w:iCs/>
          <w:sz w:val="20"/>
          <w:szCs w:val="20"/>
        </w:rPr>
        <w:t>FAO</w:t>
      </w:r>
      <w:r>
        <w:rPr>
          <w:rFonts w:ascii="Times New Roman" w:hAnsi="Times New Roman" w:cs="Times New Roman"/>
          <w:iCs/>
          <w:sz w:val="20"/>
          <w:szCs w:val="20"/>
        </w:rPr>
        <w:t>.</w:t>
      </w:r>
      <w:r w:rsidR="00DF128A" w:rsidRPr="00567FA7">
        <w:rPr>
          <w:rFonts w:ascii="Times New Roman" w:hAnsi="Times New Roman" w:cs="Times New Roman"/>
          <w:iCs/>
          <w:sz w:val="20"/>
          <w:szCs w:val="20"/>
        </w:rPr>
        <w:t xml:space="preserve"> </w:t>
      </w:r>
      <w:r w:rsidRPr="0012130E">
        <w:rPr>
          <w:rFonts w:ascii="Times New Roman" w:hAnsi="Times New Roman" w:cs="Times New Roman"/>
          <w:sz w:val="20"/>
          <w:szCs w:val="20"/>
        </w:rPr>
        <w:t xml:space="preserve">[cit. 20. července 2011]. Dostupný online </w:t>
      </w:r>
      <w:r w:rsidRPr="0012130E">
        <w:rPr>
          <w:rFonts w:ascii="Times New Roman" w:hAnsi="Times New Roman" w:cs="Times New Roman"/>
          <w:iCs/>
          <w:sz w:val="20"/>
          <w:szCs w:val="20"/>
        </w:rPr>
        <w:t>&lt;</w:t>
      </w:r>
      <w:r w:rsidR="00DF128A" w:rsidRPr="00567FA7">
        <w:rPr>
          <w:rFonts w:ascii="Times New Roman" w:hAnsi="Times New Roman" w:cs="Times New Roman"/>
          <w:iCs/>
          <w:sz w:val="20"/>
          <w:szCs w:val="20"/>
        </w:rPr>
        <w:t>http://www.fao.org/es/ess/top/commodity.html?lang=en&amp;item=486&amp;year=2005&gt;.</w:t>
      </w:r>
    </w:p>
    <w:p w:rsidR="00DF128A" w:rsidRPr="00567FA7" w:rsidRDefault="00567FA7" w:rsidP="00567FA7">
      <w:pPr>
        <w:widowControl w:val="0"/>
        <w:spacing w:after="120" w:line="276" w:lineRule="auto"/>
        <w:jc w:val="both"/>
        <w:rPr>
          <w:rFonts w:ascii="Times New Roman" w:hAnsi="Times New Roman" w:cs="Times New Roman"/>
          <w:iCs/>
          <w:sz w:val="20"/>
          <w:szCs w:val="20"/>
        </w:rPr>
      </w:pPr>
      <w:r w:rsidRPr="00567FA7">
        <w:rPr>
          <w:rFonts w:ascii="Times New Roman" w:hAnsi="Times New Roman" w:cs="Times New Roman"/>
          <w:i/>
          <w:iCs/>
          <w:sz w:val="20"/>
          <w:szCs w:val="20"/>
        </w:rPr>
        <w:t>Banana statistics</w:t>
      </w:r>
      <w:r>
        <w:rPr>
          <w:rFonts w:ascii="Times New Roman" w:hAnsi="Times New Roman" w:cs="Times New Roman"/>
          <w:i/>
          <w:iCs/>
          <w:sz w:val="20"/>
          <w:szCs w:val="20"/>
        </w:rPr>
        <w:t>,</w:t>
      </w:r>
      <w:r w:rsidRPr="00567FA7">
        <w:rPr>
          <w:rFonts w:ascii="Times New Roman" w:hAnsi="Times New Roman" w:cs="Times New Roman"/>
          <w:i/>
          <w:iCs/>
          <w:sz w:val="20"/>
          <w:szCs w:val="20"/>
        </w:rPr>
        <w:t xml:space="preserve"> </w:t>
      </w:r>
      <w:r w:rsidR="00DF128A" w:rsidRPr="00567FA7">
        <w:rPr>
          <w:rFonts w:ascii="Times New Roman" w:hAnsi="Times New Roman" w:cs="Times New Roman"/>
          <w:iCs/>
          <w:sz w:val="20"/>
          <w:szCs w:val="20"/>
        </w:rPr>
        <w:t>FAO</w:t>
      </w:r>
      <w:r>
        <w:rPr>
          <w:rFonts w:ascii="Times New Roman" w:hAnsi="Times New Roman" w:cs="Times New Roman"/>
          <w:iCs/>
          <w:sz w:val="20"/>
          <w:szCs w:val="20"/>
        </w:rPr>
        <w:t>,</w:t>
      </w:r>
      <w:r w:rsidR="00DF128A" w:rsidRPr="00567FA7">
        <w:rPr>
          <w:rFonts w:ascii="Times New Roman" w:hAnsi="Times New Roman" w:cs="Times New Roman"/>
          <w:iCs/>
          <w:sz w:val="20"/>
          <w:szCs w:val="20"/>
        </w:rPr>
        <w:t xml:space="preserve"> 2006</w:t>
      </w:r>
      <w:r>
        <w:rPr>
          <w:rFonts w:ascii="Times New Roman" w:hAnsi="Times New Roman" w:cs="Times New Roman"/>
          <w:iCs/>
          <w:sz w:val="20"/>
          <w:szCs w:val="20"/>
        </w:rPr>
        <w:t xml:space="preserve">. </w:t>
      </w:r>
      <w:r w:rsidRPr="0012130E">
        <w:rPr>
          <w:rFonts w:ascii="Times New Roman" w:hAnsi="Times New Roman" w:cs="Times New Roman"/>
          <w:sz w:val="20"/>
          <w:szCs w:val="20"/>
        </w:rPr>
        <w:t xml:space="preserve">[cit. 20. července 2011]. Dostupný online </w:t>
      </w:r>
      <w:r w:rsidRPr="0012130E">
        <w:rPr>
          <w:rFonts w:ascii="Times New Roman" w:hAnsi="Times New Roman" w:cs="Times New Roman"/>
          <w:iCs/>
          <w:sz w:val="20"/>
          <w:szCs w:val="20"/>
        </w:rPr>
        <w:t>&lt;</w:t>
      </w:r>
      <w:r w:rsidR="00DF128A" w:rsidRPr="00567FA7">
        <w:rPr>
          <w:rFonts w:ascii="Times New Roman" w:hAnsi="Times New Roman" w:cs="Times New Roman"/>
          <w:iCs/>
          <w:sz w:val="20"/>
          <w:szCs w:val="20"/>
        </w:rPr>
        <w:t>http://www.fao.org/es/ESC/en &gt;.</w:t>
      </w:r>
    </w:p>
    <w:p w:rsidR="00DF128A" w:rsidRPr="00567FA7" w:rsidRDefault="00DF128A" w:rsidP="00567FA7">
      <w:pPr>
        <w:widowControl w:val="0"/>
        <w:spacing w:after="120" w:line="276" w:lineRule="auto"/>
        <w:jc w:val="both"/>
        <w:rPr>
          <w:rFonts w:ascii="Times New Roman" w:hAnsi="Times New Roman" w:cs="Times New Roman"/>
          <w:iCs/>
          <w:sz w:val="20"/>
          <w:szCs w:val="20"/>
        </w:rPr>
      </w:pPr>
      <w:r w:rsidRPr="00567FA7">
        <w:rPr>
          <w:rFonts w:ascii="Times New Roman" w:hAnsi="Times New Roman" w:cs="Times New Roman"/>
          <w:iCs/>
          <w:sz w:val="20"/>
          <w:szCs w:val="20"/>
        </w:rPr>
        <w:t xml:space="preserve">FAOSTAT </w:t>
      </w:r>
      <w:r w:rsidR="00567FA7" w:rsidRPr="0012130E">
        <w:rPr>
          <w:rFonts w:ascii="Times New Roman" w:hAnsi="Times New Roman" w:cs="Times New Roman"/>
          <w:sz w:val="20"/>
          <w:szCs w:val="20"/>
        </w:rPr>
        <w:t xml:space="preserve">[cit. 20. července 2011]. Dostupný online </w:t>
      </w:r>
      <w:r w:rsidR="00567FA7" w:rsidRPr="0012130E">
        <w:rPr>
          <w:rFonts w:ascii="Times New Roman" w:hAnsi="Times New Roman" w:cs="Times New Roman"/>
          <w:iCs/>
          <w:sz w:val="20"/>
          <w:szCs w:val="20"/>
        </w:rPr>
        <w:t>&lt;</w:t>
      </w:r>
      <w:r w:rsidRPr="00567FA7">
        <w:rPr>
          <w:rFonts w:ascii="Times New Roman" w:hAnsi="Times New Roman" w:cs="Times New Roman"/>
          <w:iCs/>
          <w:sz w:val="20"/>
          <w:szCs w:val="20"/>
        </w:rPr>
        <w:t>http://faostat.fao.org/site/336/default.aspx&gt;.</w:t>
      </w:r>
    </w:p>
    <w:p w:rsidR="00DF128A" w:rsidRPr="00567FA7" w:rsidRDefault="00DF128A" w:rsidP="00567FA7">
      <w:pPr>
        <w:widowControl w:val="0"/>
        <w:spacing w:after="120" w:line="276" w:lineRule="auto"/>
        <w:jc w:val="both"/>
        <w:rPr>
          <w:rFonts w:ascii="Times New Roman" w:hAnsi="Times New Roman" w:cs="Times New Roman"/>
          <w:iCs/>
          <w:sz w:val="20"/>
          <w:szCs w:val="20"/>
        </w:rPr>
      </w:pPr>
      <w:r w:rsidRPr="00567FA7">
        <w:rPr>
          <w:rFonts w:ascii="Times New Roman" w:hAnsi="Times New Roman" w:cs="Times New Roman"/>
          <w:iCs/>
          <w:sz w:val="20"/>
          <w:szCs w:val="20"/>
        </w:rPr>
        <w:t>H</w:t>
      </w:r>
      <w:r w:rsidR="00567FA7">
        <w:rPr>
          <w:rFonts w:ascii="Times New Roman" w:hAnsi="Times New Roman" w:cs="Times New Roman"/>
          <w:iCs/>
          <w:sz w:val="20"/>
          <w:szCs w:val="20"/>
        </w:rPr>
        <w:t>olubová</w:t>
      </w:r>
      <w:r w:rsidRPr="00567FA7">
        <w:rPr>
          <w:rFonts w:ascii="Times New Roman" w:hAnsi="Times New Roman" w:cs="Times New Roman"/>
          <w:iCs/>
          <w:sz w:val="20"/>
          <w:szCs w:val="20"/>
        </w:rPr>
        <w:t>, E.: Banánová válka [online]. 20.09.2005, [cit. 2008-04-06]. Dostupné z WWW:&lt; http://www.roithova.cz/clanek.html?id=101&gt;.</w:t>
      </w:r>
    </w:p>
    <w:p w:rsidR="00DF128A" w:rsidRPr="00567FA7" w:rsidRDefault="00DF128A" w:rsidP="00567FA7">
      <w:pPr>
        <w:widowControl w:val="0"/>
        <w:spacing w:after="120" w:line="276" w:lineRule="auto"/>
        <w:jc w:val="both"/>
        <w:rPr>
          <w:rFonts w:ascii="Times New Roman" w:hAnsi="Times New Roman" w:cs="Times New Roman"/>
          <w:iCs/>
          <w:sz w:val="20"/>
          <w:szCs w:val="20"/>
        </w:rPr>
      </w:pPr>
      <w:r w:rsidRPr="00567FA7">
        <w:rPr>
          <w:rFonts w:ascii="Times New Roman" w:hAnsi="Times New Roman" w:cs="Times New Roman"/>
          <w:iCs/>
          <w:sz w:val="20"/>
          <w:szCs w:val="20"/>
        </w:rPr>
        <w:t>K</w:t>
      </w:r>
      <w:r w:rsidR="00567FA7">
        <w:rPr>
          <w:rFonts w:ascii="Times New Roman" w:hAnsi="Times New Roman" w:cs="Times New Roman"/>
          <w:iCs/>
          <w:sz w:val="20"/>
          <w:szCs w:val="20"/>
        </w:rPr>
        <w:t>asteele</w:t>
      </w:r>
      <w:r w:rsidRPr="00567FA7">
        <w:rPr>
          <w:rFonts w:ascii="Times New Roman" w:hAnsi="Times New Roman" w:cs="Times New Roman"/>
          <w:iCs/>
          <w:sz w:val="20"/>
          <w:szCs w:val="20"/>
        </w:rPr>
        <w:t>, A</w:t>
      </w:r>
      <w:r w:rsidR="00567FA7">
        <w:rPr>
          <w:rFonts w:ascii="Times New Roman" w:hAnsi="Times New Roman" w:cs="Times New Roman"/>
          <w:iCs/>
          <w:sz w:val="20"/>
          <w:szCs w:val="20"/>
        </w:rPr>
        <w:t>. (1998)</w:t>
      </w:r>
      <w:r w:rsidRPr="00567FA7">
        <w:rPr>
          <w:rFonts w:ascii="Times New Roman" w:hAnsi="Times New Roman" w:cs="Times New Roman"/>
          <w:iCs/>
          <w:sz w:val="20"/>
          <w:szCs w:val="20"/>
        </w:rPr>
        <w:t xml:space="preserve">: The Banana marketing chain: The Macro economics of the Banana Trade  </w:t>
      </w:r>
      <w:r w:rsidR="00567FA7" w:rsidRPr="0012130E">
        <w:rPr>
          <w:rFonts w:ascii="Times New Roman" w:hAnsi="Times New Roman" w:cs="Times New Roman"/>
          <w:sz w:val="20"/>
          <w:szCs w:val="20"/>
        </w:rPr>
        <w:t xml:space="preserve">[cit. 20. července 2011]. Dostupný online </w:t>
      </w:r>
      <w:r w:rsidR="00567FA7" w:rsidRPr="0012130E">
        <w:rPr>
          <w:rFonts w:ascii="Times New Roman" w:hAnsi="Times New Roman" w:cs="Times New Roman"/>
          <w:iCs/>
          <w:sz w:val="20"/>
          <w:szCs w:val="20"/>
        </w:rPr>
        <w:t>&lt;</w:t>
      </w:r>
      <w:r w:rsidRPr="00567FA7">
        <w:rPr>
          <w:rFonts w:ascii="Times New Roman" w:hAnsi="Times New Roman" w:cs="Times New Roman"/>
          <w:iCs/>
          <w:sz w:val="20"/>
          <w:szCs w:val="20"/>
        </w:rPr>
        <w:t>http://www.ibc2.org/text/PAPER1E.pdf &gt;.</w:t>
      </w:r>
    </w:p>
    <w:p w:rsidR="00DF128A" w:rsidRPr="00567FA7" w:rsidRDefault="00DF128A" w:rsidP="00567FA7">
      <w:pPr>
        <w:widowControl w:val="0"/>
        <w:spacing w:after="120" w:line="276" w:lineRule="auto"/>
        <w:jc w:val="both"/>
        <w:rPr>
          <w:rFonts w:ascii="Times New Roman" w:hAnsi="Times New Roman" w:cs="Times New Roman"/>
          <w:iCs/>
          <w:sz w:val="20"/>
          <w:szCs w:val="20"/>
        </w:rPr>
      </w:pPr>
      <w:r w:rsidRPr="00567FA7">
        <w:rPr>
          <w:rFonts w:ascii="Times New Roman" w:hAnsi="Times New Roman" w:cs="Times New Roman"/>
          <w:iCs/>
          <w:sz w:val="20"/>
          <w:szCs w:val="20"/>
        </w:rPr>
        <w:t>L</w:t>
      </w:r>
      <w:r w:rsidR="00567FA7">
        <w:rPr>
          <w:rFonts w:ascii="Times New Roman" w:hAnsi="Times New Roman" w:cs="Times New Roman"/>
          <w:iCs/>
          <w:sz w:val="20"/>
          <w:szCs w:val="20"/>
        </w:rPr>
        <w:t>andivar</w:t>
      </w:r>
      <w:r w:rsidRPr="00567FA7">
        <w:rPr>
          <w:rFonts w:ascii="Times New Roman" w:hAnsi="Times New Roman" w:cs="Times New Roman"/>
          <w:iCs/>
          <w:sz w:val="20"/>
          <w:szCs w:val="20"/>
        </w:rPr>
        <w:t>, N</w:t>
      </w:r>
      <w:r w:rsidR="00567FA7">
        <w:rPr>
          <w:rFonts w:ascii="Times New Roman" w:hAnsi="Times New Roman" w:cs="Times New Roman"/>
          <w:iCs/>
          <w:sz w:val="20"/>
          <w:szCs w:val="20"/>
        </w:rPr>
        <w:t>. (2005)</w:t>
      </w:r>
      <w:r w:rsidRPr="00567FA7">
        <w:rPr>
          <w:rFonts w:ascii="Times New Roman" w:hAnsi="Times New Roman" w:cs="Times New Roman"/>
          <w:iCs/>
          <w:sz w:val="20"/>
          <w:szCs w:val="20"/>
        </w:rPr>
        <w:t xml:space="preserve">: Skutečná pomoc rozvojovým zemím: příklad banánů v Ekvádoru </w:t>
      </w:r>
      <w:r w:rsidR="00567FA7" w:rsidRPr="0012130E">
        <w:rPr>
          <w:rFonts w:ascii="Times New Roman" w:hAnsi="Times New Roman" w:cs="Times New Roman"/>
          <w:sz w:val="20"/>
          <w:szCs w:val="20"/>
        </w:rPr>
        <w:t xml:space="preserve">[cit. 20. července 2011]. Dostupný online </w:t>
      </w:r>
      <w:r w:rsidR="00567FA7" w:rsidRPr="0012130E">
        <w:rPr>
          <w:rFonts w:ascii="Times New Roman" w:hAnsi="Times New Roman" w:cs="Times New Roman"/>
          <w:iCs/>
          <w:sz w:val="20"/>
          <w:szCs w:val="20"/>
        </w:rPr>
        <w:t>&lt;</w:t>
      </w:r>
      <w:r w:rsidRPr="00567FA7">
        <w:rPr>
          <w:rFonts w:ascii="Times New Roman" w:hAnsi="Times New Roman" w:cs="Times New Roman"/>
          <w:iCs/>
          <w:sz w:val="20"/>
          <w:szCs w:val="20"/>
        </w:rPr>
        <w:t>http://www.ekumakad.cz/clanky-a-publikace.shtml?x=664550&gt;.</w:t>
      </w:r>
    </w:p>
    <w:p w:rsidR="00DF128A" w:rsidRPr="00567FA7" w:rsidRDefault="00DF128A" w:rsidP="00567FA7">
      <w:pPr>
        <w:widowControl w:val="0"/>
        <w:spacing w:after="120" w:line="276" w:lineRule="auto"/>
        <w:jc w:val="both"/>
        <w:rPr>
          <w:rFonts w:ascii="Times New Roman" w:hAnsi="Times New Roman" w:cs="Times New Roman"/>
          <w:iCs/>
          <w:sz w:val="20"/>
          <w:szCs w:val="20"/>
        </w:rPr>
      </w:pPr>
      <w:r w:rsidRPr="00567FA7">
        <w:rPr>
          <w:rFonts w:ascii="Times New Roman" w:hAnsi="Times New Roman" w:cs="Times New Roman"/>
          <w:iCs/>
          <w:sz w:val="20"/>
          <w:szCs w:val="20"/>
        </w:rPr>
        <w:t xml:space="preserve">PANDA </w:t>
      </w:r>
      <w:r w:rsidR="0098646E" w:rsidRPr="0012130E">
        <w:rPr>
          <w:rFonts w:ascii="Times New Roman" w:hAnsi="Times New Roman" w:cs="Times New Roman"/>
          <w:sz w:val="20"/>
          <w:szCs w:val="20"/>
        </w:rPr>
        <w:t xml:space="preserve">[cit. 20. července 2011]. Dostupný online </w:t>
      </w:r>
      <w:r w:rsidR="0098646E" w:rsidRPr="0012130E">
        <w:rPr>
          <w:rFonts w:ascii="Times New Roman" w:hAnsi="Times New Roman" w:cs="Times New Roman"/>
          <w:iCs/>
          <w:sz w:val="20"/>
          <w:szCs w:val="20"/>
        </w:rPr>
        <w:t>&lt;</w:t>
      </w:r>
      <w:r w:rsidRPr="00567FA7">
        <w:rPr>
          <w:rFonts w:ascii="Times New Roman" w:hAnsi="Times New Roman" w:cs="Times New Roman"/>
          <w:iCs/>
          <w:sz w:val="20"/>
          <w:szCs w:val="20"/>
        </w:rPr>
        <w:t>http://www. panda.org&gt;.</w:t>
      </w:r>
    </w:p>
    <w:p w:rsidR="00DF128A" w:rsidRPr="00567FA7" w:rsidRDefault="00DF128A" w:rsidP="00567FA7">
      <w:pPr>
        <w:widowControl w:val="0"/>
        <w:spacing w:after="120" w:line="276" w:lineRule="auto"/>
        <w:jc w:val="both"/>
        <w:rPr>
          <w:rFonts w:ascii="Times New Roman" w:hAnsi="Times New Roman" w:cs="Times New Roman"/>
          <w:iCs/>
          <w:sz w:val="20"/>
          <w:szCs w:val="20"/>
        </w:rPr>
      </w:pPr>
      <w:r w:rsidRPr="00567FA7">
        <w:rPr>
          <w:rFonts w:ascii="Times New Roman" w:hAnsi="Times New Roman" w:cs="Times New Roman"/>
          <w:iCs/>
          <w:sz w:val="20"/>
          <w:szCs w:val="20"/>
        </w:rPr>
        <w:t xml:space="preserve">PANNA </w:t>
      </w:r>
      <w:r w:rsidR="0098646E" w:rsidRPr="0012130E">
        <w:rPr>
          <w:rFonts w:ascii="Times New Roman" w:hAnsi="Times New Roman" w:cs="Times New Roman"/>
          <w:sz w:val="20"/>
          <w:szCs w:val="20"/>
        </w:rPr>
        <w:t xml:space="preserve">[cit. 20. července 2011]. Dostupný online </w:t>
      </w:r>
      <w:r w:rsidR="0098646E" w:rsidRPr="0012130E">
        <w:rPr>
          <w:rFonts w:ascii="Times New Roman" w:hAnsi="Times New Roman" w:cs="Times New Roman"/>
          <w:iCs/>
          <w:sz w:val="20"/>
          <w:szCs w:val="20"/>
        </w:rPr>
        <w:t>&lt;</w:t>
      </w:r>
      <w:r w:rsidRPr="00567FA7">
        <w:rPr>
          <w:rFonts w:ascii="Times New Roman" w:hAnsi="Times New Roman" w:cs="Times New Roman"/>
          <w:iCs/>
          <w:sz w:val="20"/>
          <w:szCs w:val="20"/>
        </w:rPr>
        <w:t xml:space="preserve"> http://www.panna.org&gt;.</w:t>
      </w:r>
    </w:p>
    <w:p w:rsidR="00DF128A" w:rsidRPr="00567FA7" w:rsidRDefault="00DF128A" w:rsidP="00567FA7">
      <w:pPr>
        <w:widowControl w:val="0"/>
        <w:spacing w:after="120" w:line="276" w:lineRule="auto"/>
        <w:jc w:val="both"/>
        <w:rPr>
          <w:rFonts w:ascii="Times New Roman" w:hAnsi="Times New Roman" w:cs="Times New Roman"/>
          <w:iCs/>
          <w:sz w:val="20"/>
          <w:szCs w:val="20"/>
        </w:rPr>
      </w:pPr>
      <w:r w:rsidRPr="0098646E">
        <w:rPr>
          <w:rFonts w:ascii="Times New Roman" w:hAnsi="Times New Roman" w:cs="Times New Roman"/>
          <w:i/>
          <w:iCs/>
          <w:sz w:val="20"/>
          <w:szCs w:val="20"/>
        </w:rPr>
        <w:t>P</w:t>
      </w:r>
      <w:r w:rsidR="0098646E" w:rsidRPr="0098646E">
        <w:rPr>
          <w:rFonts w:ascii="Times New Roman" w:hAnsi="Times New Roman" w:cs="Times New Roman"/>
          <w:i/>
          <w:iCs/>
          <w:sz w:val="20"/>
          <w:szCs w:val="20"/>
        </w:rPr>
        <w:t xml:space="preserve">ulver, </w:t>
      </w:r>
      <w:r w:rsidRPr="0098646E">
        <w:rPr>
          <w:rFonts w:ascii="Times New Roman" w:hAnsi="Times New Roman" w:cs="Times New Roman"/>
          <w:i/>
          <w:iCs/>
          <w:sz w:val="20"/>
          <w:szCs w:val="20"/>
        </w:rPr>
        <w:t>U</w:t>
      </w:r>
      <w:r w:rsidR="0098646E" w:rsidRPr="0098646E">
        <w:rPr>
          <w:rFonts w:ascii="Times New Roman" w:hAnsi="Times New Roman" w:cs="Times New Roman"/>
          <w:i/>
          <w:iCs/>
          <w:sz w:val="20"/>
          <w:szCs w:val="20"/>
        </w:rPr>
        <w:t>sher</w:t>
      </w:r>
      <w:r w:rsidRPr="0098646E">
        <w:rPr>
          <w:rFonts w:ascii="Times New Roman" w:hAnsi="Times New Roman" w:cs="Times New Roman"/>
          <w:i/>
          <w:iCs/>
          <w:sz w:val="20"/>
          <w:szCs w:val="20"/>
        </w:rPr>
        <w:t xml:space="preserve"> (1994)</w:t>
      </w:r>
      <w:r w:rsidR="0098646E" w:rsidRPr="0098646E">
        <w:rPr>
          <w:rFonts w:ascii="Times New Roman" w:hAnsi="Times New Roman" w:cs="Times New Roman"/>
          <w:i/>
          <w:iCs/>
          <w:sz w:val="20"/>
          <w:szCs w:val="20"/>
        </w:rPr>
        <w:t>:</w:t>
      </w:r>
      <w:r w:rsidRPr="0098646E">
        <w:rPr>
          <w:rFonts w:ascii="Times New Roman" w:hAnsi="Times New Roman" w:cs="Times New Roman"/>
          <w:i/>
          <w:iCs/>
          <w:sz w:val="20"/>
          <w:szCs w:val="20"/>
        </w:rPr>
        <w:t xml:space="preserve"> In Environmental Impacts of Production: Pesticide Use</w:t>
      </w:r>
      <w:r w:rsidR="0098646E">
        <w:rPr>
          <w:rFonts w:ascii="Times New Roman" w:hAnsi="Times New Roman" w:cs="Times New Roman"/>
          <w:i/>
          <w:iCs/>
          <w:sz w:val="20"/>
          <w:szCs w:val="20"/>
        </w:rPr>
        <w:t>.</w:t>
      </w:r>
      <w:r w:rsidR="0098646E" w:rsidRPr="0098646E">
        <w:rPr>
          <w:rFonts w:ascii="Times New Roman" w:hAnsi="Times New Roman" w:cs="Times New Roman"/>
          <w:iCs/>
          <w:sz w:val="20"/>
          <w:szCs w:val="20"/>
        </w:rPr>
        <w:t xml:space="preserve"> </w:t>
      </w:r>
      <w:r w:rsidR="0098646E" w:rsidRPr="00567FA7">
        <w:rPr>
          <w:rFonts w:ascii="Times New Roman" w:hAnsi="Times New Roman" w:cs="Times New Roman"/>
          <w:iCs/>
          <w:sz w:val="20"/>
          <w:szCs w:val="20"/>
        </w:rPr>
        <w:t>World Wildlife Fund.</w:t>
      </w:r>
      <w:r w:rsidR="00E20A69">
        <w:rPr>
          <w:rFonts w:ascii="Times New Roman" w:hAnsi="Times New Roman" w:cs="Times New Roman"/>
          <w:iCs/>
          <w:sz w:val="20"/>
          <w:szCs w:val="20"/>
        </w:rPr>
        <w:t xml:space="preserve"> </w:t>
      </w:r>
      <w:r w:rsidR="0098646E" w:rsidRPr="0012130E">
        <w:rPr>
          <w:rFonts w:ascii="Times New Roman" w:hAnsi="Times New Roman" w:cs="Times New Roman"/>
          <w:sz w:val="20"/>
          <w:szCs w:val="20"/>
        </w:rPr>
        <w:t xml:space="preserve">[cit. 20. července 2011]. Dostupný online </w:t>
      </w:r>
      <w:r w:rsidR="0098646E" w:rsidRPr="0012130E">
        <w:rPr>
          <w:rFonts w:ascii="Times New Roman" w:hAnsi="Times New Roman" w:cs="Times New Roman"/>
          <w:iCs/>
          <w:sz w:val="20"/>
          <w:szCs w:val="20"/>
        </w:rPr>
        <w:t>&lt;</w:t>
      </w:r>
      <w:r w:rsidRPr="00567FA7">
        <w:rPr>
          <w:rFonts w:ascii="Times New Roman" w:hAnsi="Times New Roman" w:cs="Times New Roman"/>
          <w:iCs/>
          <w:sz w:val="20"/>
          <w:szCs w:val="20"/>
        </w:rPr>
        <w:t>http://www.panda.org/about_wwf/what_we_do/policy/agriculture_environment/commodities/bananas/environmental_impacts/pesticide_use/index.cfm&gt;.</w:t>
      </w:r>
    </w:p>
    <w:p w:rsidR="00DF128A" w:rsidRPr="00567FA7" w:rsidRDefault="0098646E" w:rsidP="00567FA7">
      <w:pPr>
        <w:widowControl w:val="0"/>
        <w:spacing w:after="120" w:line="276" w:lineRule="auto"/>
        <w:jc w:val="both"/>
        <w:rPr>
          <w:rFonts w:ascii="Times New Roman" w:hAnsi="Times New Roman" w:cs="Times New Roman"/>
          <w:iCs/>
          <w:sz w:val="20"/>
          <w:szCs w:val="20"/>
        </w:rPr>
      </w:pPr>
      <w:r>
        <w:rPr>
          <w:rFonts w:ascii="Times New Roman" w:hAnsi="Times New Roman" w:cs="Times New Roman"/>
          <w:iCs/>
          <w:sz w:val="20"/>
          <w:szCs w:val="20"/>
        </w:rPr>
        <w:t>Sochor</w:t>
      </w:r>
      <w:r w:rsidR="00DF128A" w:rsidRPr="00567FA7">
        <w:rPr>
          <w:rFonts w:ascii="Times New Roman" w:hAnsi="Times New Roman" w:cs="Times New Roman"/>
          <w:iCs/>
          <w:sz w:val="20"/>
          <w:szCs w:val="20"/>
        </w:rPr>
        <w:t>, J.</w:t>
      </w:r>
      <w:r>
        <w:rPr>
          <w:rFonts w:ascii="Times New Roman" w:hAnsi="Times New Roman" w:cs="Times New Roman"/>
          <w:iCs/>
          <w:sz w:val="20"/>
          <w:szCs w:val="20"/>
        </w:rPr>
        <w:t xml:space="preserve"> (2007)</w:t>
      </w:r>
      <w:r w:rsidR="00DF128A" w:rsidRPr="00567FA7">
        <w:rPr>
          <w:rFonts w:ascii="Times New Roman" w:hAnsi="Times New Roman" w:cs="Times New Roman"/>
          <w:iCs/>
          <w:sz w:val="20"/>
          <w:szCs w:val="20"/>
        </w:rPr>
        <w:t xml:space="preserve">: Banánová republika. </w:t>
      </w:r>
      <w:r w:rsidR="00DF128A" w:rsidRPr="0098646E">
        <w:rPr>
          <w:rFonts w:ascii="Times New Roman" w:hAnsi="Times New Roman" w:cs="Times New Roman"/>
          <w:i/>
          <w:iCs/>
          <w:sz w:val="20"/>
          <w:szCs w:val="20"/>
        </w:rPr>
        <w:t>Časopis Reflex</w:t>
      </w:r>
      <w:r>
        <w:rPr>
          <w:rFonts w:ascii="Times New Roman" w:hAnsi="Times New Roman" w:cs="Times New Roman"/>
          <w:i/>
          <w:iCs/>
          <w:sz w:val="20"/>
          <w:szCs w:val="20"/>
        </w:rPr>
        <w:t>,</w:t>
      </w:r>
      <w:r w:rsidR="00DF128A" w:rsidRPr="00567FA7">
        <w:rPr>
          <w:rFonts w:ascii="Times New Roman" w:hAnsi="Times New Roman" w:cs="Times New Roman"/>
          <w:iCs/>
          <w:sz w:val="20"/>
          <w:szCs w:val="20"/>
        </w:rPr>
        <w:t xml:space="preserve"> </w:t>
      </w:r>
      <w:r>
        <w:rPr>
          <w:rFonts w:ascii="Times New Roman" w:hAnsi="Times New Roman" w:cs="Times New Roman"/>
          <w:iCs/>
          <w:sz w:val="20"/>
          <w:szCs w:val="20"/>
        </w:rPr>
        <w:t>roč. 2007, č. 11</w:t>
      </w:r>
      <w:r w:rsidR="00DF128A" w:rsidRPr="00567FA7">
        <w:rPr>
          <w:rFonts w:ascii="Times New Roman" w:hAnsi="Times New Roman" w:cs="Times New Roman"/>
          <w:iCs/>
          <w:sz w:val="20"/>
          <w:szCs w:val="20"/>
        </w:rPr>
        <w:t>, s. 92..</w:t>
      </w:r>
    </w:p>
    <w:p w:rsidR="00DF128A" w:rsidRPr="00567FA7" w:rsidRDefault="00DF128A" w:rsidP="00567FA7">
      <w:pPr>
        <w:widowControl w:val="0"/>
        <w:spacing w:after="120" w:line="276" w:lineRule="auto"/>
        <w:jc w:val="both"/>
        <w:rPr>
          <w:rFonts w:ascii="Times New Roman" w:hAnsi="Times New Roman" w:cs="Times New Roman"/>
          <w:iCs/>
          <w:sz w:val="20"/>
          <w:szCs w:val="20"/>
        </w:rPr>
      </w:pPr>
      <w:r w:rsidRPr="0098646E">
        <w:rPr>
          <w:rFonts w:ascii="Times New Roman" w:hAnsi="Times New Roman" w:cs="Times New Roman"/>
          <w:i/>
          <w:iCs/>
          <w:sz w:val="20"/>
          <w:szCs w:val="20"/>
        </w:rPr>
        <w:t>Banana Production and the Environment</w:t>
      </w:r>
      <w:r w:rsidR="0098646E">
        <w:rPr>
          <w:rFonts w:ascii="Times New Roman" w:hAnsi="Times New Roman" w:cs="Times New Roman"/>
          <w:i/>
          <w:iCs/>
          <w:sz w:val="20"/>
          <w:szCs w:val="20"/>
        </w:rPr>
        <w:t xml:space="preserve">, </w:t>
      </w:r>
      <w:r w:rsidRPr="00567FA7">
        <w:rPr>
          <w:rFonts w:ascii="Times New Roman" w:hAnsi="Times New Roman" w:cs="Times New Roman"/>
          <w:iCs/>
          <w:sz w:val="20"/>
          <w:szCs w:val="20"/>
        </w:rPr>
        <w:t xml:space="preserve"> </w:t>
      </w:r>
      <w:r w:rsidR="0098646E" w:rsidRPr="00567FA7">
        <w:rPr>
          <w:rFonts w:ascii="Times New Roman" w:hAnsi="Times New Roman" w:cs="Times New Roman"/>
          <w:iCs/>
          <w:sz w:val="20"/>
          <w:szCs w:val="20"/>
        </w:rPr>
        <w:t>T</w:t>
      </w:r>
      <w:r w:rsidR="0098646E">
        <w:rPr>
          <w:rFonts w:ascii="Times New Roman" w:hAnsi="Times New Roman" w:cs="Times New Roman"/>
          <w:iCs/>
          <w:sz w:val="20"/>
          <w:szCs w:val="20"/>
        </w:rPr>
        <w:t>rav</w:t>
      </w:r>
      <w:r w:rsidR="0098646E" w:rsidRPr="00567FA7">
        <w:rPr>
          <w:rFonts w:ascii="Times New Roman" w:hAnsi="Times New Roman" w:cs="Times New Roman"/>
          <w:iCs/>
          <w:sz w:val="20"/>
          <w:szCs w:val="20"/>
        </w:rPr>
        <w:t xml:space="preserve"> B</w:t>
      </w:r>
      <w:r w:rsidR="0098646E">
        <w:rPr>
          <w:rFonts w:ascii="Times New Roman" w:hAnsi="Times New Roman" w:cs="Times New Roman"/>
          <w:iCs/>
          <w:sz w:val="20"/>
          <w:szCs w:val="20"/>
        </w:rPr>
        <w:t>uddy, 2006.</w:t>
      </w:r>
      <w:r w:rsidR="0098646E" w:rsidRPr="00567FA7">
        <w:rPr>
          <w:rFonts w:ascii="Times New Roman" w:hAnsi="Times New Roman" w:cs="Times New Roman"/>
          <w:iCs/>
          <w:sz w:val="20"/>
          <w:szCs w:val="20"/>
        </w:rPr>
        <w:t xml:space="preserve"> </w:t>
      </w:r>
      <w:r w:rsidR="0098646E" w:rsidRPr="0012130E">
        <w:rPr>
          <w:rFonts w:ascii="Times New Roman" w:hAnsi="Times New Roman" w:cs="Times New Roman"/>
          <w:sz w:val="20"/>
          <w:szCs w:val="20"/>
        </w:rPr>
        <w:t xml:space="preserve">[cit. 20. července 2011]. Dostupný online </w:t>
      </w:r>
      <w:r w:rsidR="0098646E" w:rsidRPr="0012130E">
        <w:rPr>
          <w:rFonts w:ascii="Times New Roman" w:hAnsi="Times New Roman" w:cs="Times New Roman"/>
          <w:iCs/>
          <w:sz w:val="20"/>
          <w:szCs w:val="20"/>
        </w:rPr>
        <w:t>&lt;</w:t>
      </w:r>
      <w:r w:rsidRPr="00567FA7">
        <w:rPr>
          <w:rFonts w:ascii="Times New Roman" w:hAnsi="Times New Roman" w:cs="Times New Roman"/>
          <w:iCs/>
          <w:sz w:val="20"/>
          <w:szCs w:val="20"/>
        </w:rPr>
        <w:t xml:space="preserve">http:// </w:t>
      </w:r>
      <w:r w:rsidRPr="00567FA7">
        <w:rPr>
          <w:rFonts w:ascii="Times New Roman" w:hAnsi="Times New Roman" w:cs="Times New Roman"/>
          <w:iCs/>
          <w:sz w:val="20"/>
          <w:szCs w:val="20"/>
        </w:rPr>
        <w:lastRenderedPageBreak/>
        <w:t>www.travbuddy.com/travel-blogs/15843/Banana-Production-and-the-Environment-Sarapiqui-1&gt;.</w:t>
      </w:r>
    </w:p>
    <w:p w:rsidR="00DF128A" w:rsidRPr="00567FA7" w:rsidRDefault="00DF128A" w:rsidP="00567FA7">
      <w:pPr>
        <w:widowControl w:val="0"/>
        <w:spacing w:after="120" w:line="276" w:lineRule="auto"/>
        <w:jc w:val="both"/>
        <w:rPr>
          <w:rFonts w:ascii="Times New Roman" w:hAnsi="Times New Roman" w:cs="Times New Roman"/>
          <w:iCs/>
          <w:sz w:val="20"/>
          <w:szCs w:val="20"/>
        </w:rPr>
      </w:pPr>
      <w:r w:rsidRPr="0098646E">
        <w:rPr>
          <w:rFonts w:ascii="Times New Roman" w:hAnsi="Times New Roman" w:cs="Times New Roman"/>
          <w:i/>
          <w:iCs/>
          <w:sz w:val="20"/>
          <w:szCs w:val="20"/>
        </w:rPr>
        <w:t>Market</w:t>
      </w:r>
      <w:r w:rsidR="0098646E">
        <w:rPr>
          <w:rFonts w:ascii="Times New Roman" w:hAnsi="Times New Roman" w:cs="Times New Roman"/>
          <w:iCs/>
          <w:sz w:val="20"/>
          <w:szCs w:val="20"/>
        </w:rPr>
        <w:t>,</w:t>
      </w:r>
      <w:r w:rsidRPr="00567FA7">
        <w:rPr>
          <w:rFonts w:ascii="Times New Roman" w:hAnsi="Times New Roman" w:cs="Times New Roman"/>
          <w:iCs/>
          <w:sz w:val="20"/>
          <w:szCs w:val="20"/>
        </w:rPr>
        <w:t xml:space="preserve"> </w:t>
      </w:r>
      <w:r w:rsidR="0098646E" w:rsidRPr="00567FA7">
        <w:rPr>
          <w:rFonts w:ascii="Times New Roman" w:hAnsi="Times New Roman" w:cs="Times New Roman"/>
          <w:iCs/>
          <w:sz w:val="20"/>
          <w:szCs w:val="20"/>
        </w:rPr>
        <w:t>UNCTAD</w:t>
      </w:r>
      <w:r w:rsidR="0098646E">
        <w:rPr>
          <w:rFonts w:ascii="Times New Roman" w:hAnsi="Times New Roman" w:cs="Times New Roman"/>
          <w:iCs/>
          <w:sz w:val="20"/>
          <w:szCs w:val="20"/>
        </w:rPr>
        <w:t>,</w:t>
      </w:r>
      <w:r w:rsidR="0098646E" w:rsidRPr="00567FA7">
        <w:rPr>
          <w:rFonts w:ascii="Times New Roman" w:hAnsi="Times New Roman" w:cs="Times New Roman"/>
          <w:iCs/>
          <w:sz w:val="20"/>
          <w:szCs w:val="20"/>
        </w:rPr>
        <w:t xml:space="preserve"> </w:t>
      </w:r>
      <w:r w:rsidRPr="00567FA7">
        <w:rPr>
          <w:rFonts w:ascii="Times New Roman" w:hAnsi="Times New Roman" w:cs="Times New Roman"/>
          <w:iCs/>
          <w:sz w:val="20"/>
          <w:szCs w:val="20"/>
        </w:rPr>
        <w:t>2005</w:t>
      </w:r>
      <w:r w:rsidR="0098646E">
        <w:rPr>
          <w:rFonts w:ascii="Times New Roman" w:hAnsi="Times New Roman" w:cs="Times New Roman"/>
          <w:iCs/>
          <w:sz w:val="20"/>
          <w:szCs w:val="20"/>
        </w:rPr>
        <w:t>.</w:t>
      </w:r>
      <w:r w:rsidRPr="00567FA7">
        <w:rPr>
          <w:rFonts w:ascii="Times New Roman" w:hAnsi="Times New Roman" w:cs="Times New Roman"/>
          <w:iCs/>
          <w:sz w:val="20"/>
          <w:szCs w:val="20"/>
        </w:rPr>
        <w:t xml:space="preserve"> </w:t>
      </w:r>
      <w:r w:rsidR="0098646E" w:rsidRPr="0012130E">
        <w:rPr>
          <w:rFonts w:ascii="Times New Roman" w:hAnsi="Times New Roman" w:cs="Times New Roman"/>
          <w:sz w:val="20"/>
          <w:szCs w:val="20"/>
        </w:rPr>
        <w:t xml:space="preserve">[cit. 20. července 2011]. Dostupný online </w:t>
      </w:r>
      <w:r w:rsidR="0098646E" w:rsidRPr="0012130E">
        <w:rPr>
          <w:rFonts w:ascii="Times New Roman" w:hAnsi="Times New Roman" w:cs="Times New Roman"/>
          <w:iCs/>
          <w:sz w:val="20"/>
          <w:szCs w:val="20"/>
        </w:rPr>
        <w:t>&lt;</w:t>
      </w:r>
      <w:r w:rsidRPr="00567FA7">
        <w:rPr>
          <w:rFonts w:ascii="Times New Roman" w:hAnsi="Times New Roman" w:cs="Times New Roman"/>
          <w:iCs/>
          <w:sz w:val="20"/>
          <w:szCs w:val="20"/>
        </w:rPr>
        <w:t>http://www.unctad.org/infocomm/anglais/banana/market.htm#organic&gt;.</w:t>
      </w:r>
    </w:p>
    <w:p w:rsidR="00DF128A" w:rsidRPr="00567FA7" w:rsidRDefault="00DF128A" w:rsidP="00567FA7">
      <w:pPr>
        <w:widowControl w:val="0"/>
        <w:spacing w:after="120" w:line="276" w:lineRule="auto"/>
        <w:jc w:val="both"/>
        <w:rPr>
          <w:rFonts w:ascii="Times New Roman" w:hAnsi="Times New Roman" w:cs="Times New Roman"/>
          <w:iCs/>
          <w:sz w:val="20"/>
          <w:szCs w:val="20"/>
        </w:rPr>
      </w:pPr>
      <w:r w:rsidRPr="00567FA7">
        <w:rPr>
          <w:rFonts w:ascii="Times New Roman" w:hAnsi="Times New Roman" w:cs="Times New Roman"/>
          <w:iCs/>
          <w:sz w:val="20"/>
          <w:szCs w:val="20"/>
        </w:rPr>
        <w:t>USTR</w:t>
      </w:r>
      <w:r w:rsidR="0098646E">
        <w:rPr>
          <w:rFonts w:ascii="Times New Roman" w:hAnsi="Times New Roman" w:cs="Times New Roman"/>
          <w:iCs/>
          <w:sz w:val="20"/>
          <w:szCs w:val="20"/>
        </w:rPr>
        <w:t>.</w:t>
      </w:r>
      <w:r w:rsidRPr="00567FA7">
        <w:rPr>
          <w:rFonts w:ascii="Times New Roman" w:hAnsi="Times New Roman" w:cs="Times New Roman"/>
          <w:iCs/>
          <w:sz w:val="20"/>
          <w:szCs w:val="20"/>
        </w:rPr>
        <w:t xml:space="preserve"> [</w:t>
      </w:r>
      <w:r w:rsidR="0098646E" w:rsidRPr="0012130E">
        <w:rPr>
          <w:rFonts w:ascii="Times New Roman" w:hAnsi="Times New Roman" w:cs="Times New Roman"/>
          <w:sz w:val="20"/>
          <w:szCs w:val="20"/>
        </w:rPr>
        <w:t xml:space="preserve">cit. 20. července 2011]. Dostupný online </w:t>
      </w:r>
      <w:r w:rsidR="0098646E" w:rsidRPr="0012130E">
        <w:rPr>
          <w:rFonts w:ascii="Times New Roman" w:hAnsi="Times New Roman" w:cs="Times New Roman"/>
          <w:iCs/>
          <w:sz w:val="20"/>
          <w:szCs w:val="20"/>
        </w:rPr>
        <w:t>&lt;</w:t>
      </w:r>
      <w:r w:rsidRPr="00567FA7">
        <w:rPr>
          <w:rFonts w:ascii="Times New Roman" w:hAnsi="Times New Roman" w:cs="Times New Roman"/>
          <w:iCs/>
          <w:sz w:val="20"/>
          <w:szCs w:val="20"/>
        </w:rPr>
        <w:t>http://www.ustr.gov&gt;.</w:t>
      </w:r>
    </w:p>
    <w:p w:rsidR="00DF128A" w:rsidRPr="00DF128A" w:rsidRDefault="00DF128A" w:rsidP="00DF128A">
      <w:pPr>
        <w:widowControl w:val="0"/>
        <w:autoSpaceDE w:val="0"/>
        <w:autoSpaceDN w:val="0"/>
        <w:adjustRightInd w:val="0"/>
        <w:spacing w:line="276" w:lineRule="auto"/>
        <w:ind w:firstLine="709"/>
        <w:jc w:val="both"/>
        <w:rPr>
          <w:rFonts w:ascii="Times New Roman" w:hAnsi="Times New Roman" w:cs="Times New Roman"/>
          <w:sz w:val="24"/>
          <w:szCs w:val="24"/>
        </w:rPr>
      </w:pPr>
    </w:p>
    <w:p w:rsidR="00DF128A" w:rsidRPr="00DF128A" w:rsidRDefault="00DF128A" w:rsidP="00A80C9E">
      <w:pPr>
        <w:widowControl w:val="0"/>
        <w:autoSpaceDE w:val="0"/>
        <w:autoSpaceDN w:val="0"/>
        <w:adjustRightInd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8 PŘÍLOHY</w:t>
      </w:r>
    </w:p>
    <w:p w:rsidR="00DF128A" w:rsidRPr="00DF128A" w:rsidRDefault="00DF128A" w:rsidP="00A80C9E">
      <w:pPr>
        <w:widowControl w:val="0"/>
        <w:autoSpaceDE w:val="0"/>
        <w:autoSpaceDN w:val="0"/>
        <w:adjustRightInd w:val="0"/>
        <w:spacing w:line="276" w:lineRule="auto"/>
        <w:jc w:val="both"/>
        <w:rPr>
          <w:rFonts w:ascii="Times New Roman" w:hAnsi="Times New Roman" w:cs="Times New Roman"/>
          <w:sz w:val="24"/>
          <w:szCs w:val="24"/>
        </w:rPr>
      </w:pPr>
      <w:r w:rsidRPr="00DF128A">
        <w:rPr>
          <w:rFonts w:ascii="Times New Roman" w:hAnsi="Times New Roman" w:cs="Times New Roman"/>
          <w:b/>
          <w:sz w:val="24"/>
          <w:szCs w:val="24"/>
        </w:rPr>
        <w:t>Příloha 1.</w:t>
      </w:r>
      <w:r w:rsidRPr="00DF128A">
        <w:rPr>
          <w:rFonts w:ascii="Times New Roman" w:hAnsi="Times New Roman" w:cs="Times New Roman"/>
          <w:sz w:val="24"/>
          <w:szCs w:val="24"/>
        </w:rPr>
        <w:t xml:space="preserve"> Největší dovozci banánů na světě v roce 2005</w:t>
      </w:r>
    </w:p>
    <w:p w:rsidR="00DF128A" w:rsidRPr="00DF128A" w:rsidRDefault="00DF128A" w:rsidP="00A80C9E">
      <w:pPr>
        <w:widowControl w:val="0"/>
        <w:autoSpaceDE w:val="0"/>
        <w:autoSpaceDN w:val="0"/>
        <w:adjustRightInd w:val="0"/>
        <w:spacing w:line="276" w:lineRule="auto"/>
        <w:jc w:val="both"/>
        <w:rPr>
          <w:rFonts w:ascii="Times New Roman" w:hAnsi="Times New Roman" w:cs="Times New Roman"/>
          <w:sz w:val="24"/>
          <w:szCs w:val="24"/>
        </w:rPr>
      </w:pPr>
      <w:r w:rsidRPr="00DF128A">
        <w:rPr>
          <w:rFonts w:ascii="Times New Roman" w:hAnsi="Times New Roman" w:cs="Times New Roman"/>
          <w:noProof/>
          <w:sz w:val="24"/>
          <w:szCs w:val="24"/>
          <w:lang w:eastAsia="cs-CZ"/>
        </w:rPr>
        <w:drawing>
          <wp:inline distT="0" distB="0" distL="0" distR="0" wp14:anchorId="672D71F2" wp14:editId="5579425B">
            <wp:extent cx="5075092" cy="3593805"/>
            <wp:effectExtent l="0" t="0" r="0" b="6985"/>
            <wp:docPr id="23" name="Obrázek 23" descr="Bez%20názv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ez%20názvu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88875" cy="3603565"/>
                    </a:xfrm>
                    <a:prstGeom prst="rect">
                      <a:avLst/>
                    </a:prstGeom>
                    <a:noFill/>
                    <a:ln>
                      <a:noFill/>
                    </a:ln>
                  </pic:spPr>
                </pic:pic>
              </a:graphicData>
            </a:graphic>
          </wp:inline>
        </w:drawing>
      </w:r>
    </w:p>
    <w:p w:rsidR="00DF128A" w:rsidRPr="00DF128A" w:rsidRDefault="00A80C9E" w:rsidP="00A80C9E">
      <w:pPr>
        <w:widowControl w:val="0"/>
        <w:autoSpaceDE w:val="0"/>
        <w:autoSpaceDN w:val="0"/>
        <w:adjustRightInd w:val="0"/>
        <w:spacing w:line="276" w:lineRule="auto"/>
        <w:jc w:val="both"/>
        <w:rPr>
          <w:rFonts w:ascii="Times New Roman" w:hAnsi="Times New Roman" w:cs="Times New Roman"/>
          <w:sz w:val="24"/>
          <w:szCs w:val="24"/>
        </w:rPr>
      </w:pPr>
      <w:r w:rsidRPr="00DF128A">
        <w:rPr>
          <w:rFonts w:ascii="Times New Roman" w:hAnsi="Times New Roman" w:cs="Times New Roman"/>
          <w:b/>
          <w:sz w:val="24"/>
          <w:szCs w:val="24"/>
        </w:rPr>
        <w:t>Příloha 2.</w:t>
      </w:r>
      <w:r w:rsidRPr="00DF128A">
        <w:rPr>
          <w:rFonts w:ascii="Times New Roman" w:hAnsi="Times New Roman" w:cs="Times New Roman"/>
          <w:sz w:val="24"/>
          <w:szCs w:val="24"/>
        </w:rPr>
        <w:t xml:space="preserve"> Největší vývozci banánů na světě v roce 2005</w:t>
      </w:r>
    </w:p>
    <w:p w:rsidR="00DF128A" w:rsidRPr="00DF128A" w:rsidRDefault="00DF128A" w:rsidP="00E20A69">
      <w:pPr>
        <w:widowControl w:val="0"/>
        <w:autoSpaceDE w:val="0"/>
        <w:autoSpaceDN w:val="0"/>
        <w:adjustRightInd w:val="0"/>
        <w:spacing w:line="276" w:lineRule="auto"/>
        <w:jc w:val="both"/>
        <w:rPr>
          <w:rFonts w:ascii="Times New Roman" w:hAnsi="Times New Roman" w:cs="Times New Roman"/>
          <w:sz w:val="24"/>
          <w:szCs w:val="24"/>
        </w:rPr>
      </w:pPr>
      <w:r w:rsidRPr="00DF128A">
        <w:rPr>
          <w:rFonts w:ascii="Times New Roman" w:hAnsi="Times New Roman" w:cs="Times New Roman"/>
          <w:noProof/>
          <w:sz w:val="24"/>
          <w:szCs w:val="24"/>
          <w:lang w:eastAsia="cs-CZ"/>
        </w:rPr>
        <w:drawing>
          <wp:inline distT="0" distB="0" distL="0" distR="0" wp14:anchorId="27F3770D" wp14:editId="422AE6F8">
            <wp:extent cx="4884500" cy="3391786"/>
            <wp:effectExtent l="0" t="0" r="0" b="0"/>
            <wp:docPr id="22" name="Obrázek 22" descr="Bez%20názv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ez%20názvu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93944" cy="3398344"/>
                    </a:xfrm>
                    <a:prstGeom prst="rect">
                      <a:avLst/>
                    </a:prstGeom>
                    <a:noFill/>
                    <a:ln>
                      <a:noFill/>
                    </a:ln>
                  </pic:spPr>
                </pic:pic>
              </a:graphicData>
            </a:graphic>
          </wp:inline>
        </w:drawing>
      </w:r>
      <w:r w:rsidRPr="00DF128A">
        <w:rPr>
          <w:rFonts w:ascii="Times New Roman" w:hAnsi="Times New Roman" w:cs="Times New Roman"/>
          <w:sz w:val="24"/>
          <w:szCs w:val="24"/>
        </w:rPr>
        <w:br w:type="page"/>
      </w:r>
    </w:p>
    <w:p w:rsidR="00A80C9E" w:rsidRDefault="00DF128A" w:rsidP="00A80C9E">
      <w:pPr>
        <w:widowControl w:val="0"/>
        <w:spacing w:line="276" w:lineRule="auto"/>
        <w:jc w:val="center"/>
        <w:rPr>
          <w:rFonts w:ascii="Times New Roman" w:hAnsi="Times New Roman" w:cs="Times New Roman"/>
          <w:b/>
          <w:i/>
          <w:sz w:val="24"/>
          <w:szCs w:val="24"/>
        </w:rPr>
      </w:pPr>
      <w:r w:rsidRPr="00DF128A">
        <w:rPr>
          <w:rFonts w:ascii="Times New Roman" w:hAnsi="Times New Roman" w:cs="Times New Roman"/>
          <w:b/>
          <w:sz w:val="24"/>
          <w:szCs w:val="24"/>
        </w:rPr>
        <w:lastRenderedPageBreak/>
        <w:t>GLOBÁLNÍ OBCHOD S URANEM</w:t>
      </w:r>
    </w:p>
    <w:p w:rsidR="00A80C9E" w:rsidRDefault="00A80C9E" w:rsidP="00A80C9E">
      <w:pPr>
        <w:widowControl w:val="0"/>
        <w:spacing w:line="276" w:lineRule="auto"/>
        <w:ind w:firstLine="709"/>
        <w:jc w:val="center"/>
        <w:rPr>
          <w:rFonts w:ascii="Times New Roman" w:hAnsi="Times New Roman" w:cs="Times New Roman"/>
          <w:b/>
          <w:i/>
          <w:sz w:val="24"/>
          <w:szCs w:val="24"/>
        </w:rPr>
      </w:pPr>
    </w:p>
    <w:p w:rsidR="00DF128A" w:rsidRPr="00A80C9E" w:rsidRDefault="00DF128A" w:rsidP="00A80C9E">
      <w:pPr>
        <w:widowControl w:val="0"/>
        <w:spacing w:line="276" w:lineRule="auto"/>
        <w:jc w:val="center"/>
        <w:rPr>
          <w:rFonts w:ascii="Times New Roman" w:hAnsi="Times New Roman" w:cs="Times New Roman"/>
          <w:i/>
          <w:sz w:val="24"/>
          <w:szCs w:val="24"/>
        </w:rPr>
      </w:pPr>
      <w:r w:rsidRPr="00A80C9E">
        <w:rPr>
          <w:rFonts w:ascii="Times New Roman" w:hAnsi="Times New Roman" w:cs="Times New Roman"/>
          <w:i/>
          <w:sz w:val="24"/>
          <w:szCs w:val="24"/>
        </w:rPr>
        <w:t xml:space="preserve">Ondřej </w:t>
      </w:r>
      <w:r w:rsidR="00A80C9E">
        <w:rPr>
          <w:rFonts w:ascii="Times New Roman" w:hAnsi="Times New Roman" w:cs="Times New Roman"/>
          <w:i/>
          <w:sz w:val="24"/>
          <w:szCs w:val="24"/>
        </w:rPr>
        <w:t>Šerý</w:t>
      </w:r>
    </w:p>
    <w:p w:rsidR="00DF128A" w:rsidRPr="00DF128A" w:rsidRDefault="00DF128A" w:rsidP="00DF128A">
      <w:pPr>
        <w:widowControl w:val="0"/>
        <w:spacing w:line="276" w:lineRule="auto"/>
        <w:ind w:firstLine="709"/>
        <w:jc w:val="both"/>
        <w:rPr>
          <w:rFonts w:ascii="Times New Roman" w:hAnsi="Times New Roman" w:cs="Times New Roman"/>
          <w:i/>
          <w:sz w:val="24"/>
          <w:szCs w:val="24"/>
        </w:rPr>
      </w:pPr>
    </w:p>
    <w:p w:rsidR="00DF128A" w:rsidRPr="00DF128A" w:rsidRDefault="00DF128A" w:rsidP="00DF128A">
      <w:pPr>
        <w:widowControl w:val="0"/>
        <w:spacing w:line="276" w:lineRule="auto"/>
        <w:ind w:firstLine="709"/>
        <w:jc w:val="both"/>
        <w:rPr>
          <w:rFonts w:ascii="Times New Roman" w:hAnsi="Times New Roman" w:cs="Times New Roman"/>
          <w:i/>
          <w:sz w:val="24"/>
          <w:szCs w:val="24"/>
        </w:rPr>
      </w:pPr>
      <w:r w:rsidRPr="00DF128A">
        <w:rPr>
          <w:rFonts w:ascii="Times New Roman" w:hAnsi="Times New Roman" w:cs="Times New Roman"/>
          <w:i/>
          <w:sz w:val="24"/>
          <w:szCs w:val="24"/>
        </w:rPr>
        <w:t xml:space="preserve">   Energetické suroviny mají v dnešním světě stále větší cenu. Kde jsou jejich ložiska? Které firmy je těží? Jakým způsobem se převáží a kdo jsou spotřebitelé? A má obchodování s uranem nějaký vliv na naši zemi. Cílem této práce není jen odpovědět na tyto otázky, ale rovněž zjistit, jak dnes vypadá globální obchod s ur</w:t>
      </w:r>
      <w:r w:rsidR="00E20A69">
        <w:rPr>
          <w:rFonts w:ascii="Times New Roman" w:hAnsi="Times New Roman" w:cs="Times New Roman"/>
          <w:i/>
          <w:sz w:val="24"/>
          <w:szCs w:val="24"/>
        </w:rPr>
        <w:t>anem</w:t>
      </w:r>
      <w:r w:rsidRPr="00DF128A">
        <w:rPr>
          <w:rFonts w:ascii="Times New Roman" w:hAnsi="Times New Roman" w:cs="Times New Roman"/>
          <w:i/>
          <w:sz w:val="24"/>
          <w:szCs w:val="24"/>
        </w:rPr>
        <w:t xml:space="preserve"> a zdali je ještě čitelný.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   </w:t>
      </w:r>
    </w:p>
    <w:p w:rsidR="00DF128A" w:rsidRPr="00DF128A" w:rsidRDefault="00DF128A" w:rsidP="00A80C9E">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Využití uranu</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Uran je v čistém stavu stříbrobílý lesklý kov, jehož využití je z ekonomického a technologického hlediska důležité především v oblasti jaderné energetiky. Po tzv. obohacení se používá jako palivo v jaderných reaktorech. Odpad, vznikající po obohacování, se nazývá ochuzený uran, který je díky moderním technologiím stále ještě využitelný jako palivo.</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Druhým významným odvětvím, kde uran nachází své uplatnění, je vojenství, a to v podobě náplní jaderných bomb. V některých amerických tancích je ochuzený uran používán jako součást pancíře. Velmi diskutovaným způsobem uplatnění je výroba protipancéřových projektilů, v nichž uran zvyšuje ničivý účinek, ale podle některých vědců částečně zamořuje okolí.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V dalších oborech lidské činnosti dochází už k nejadernému využití uranu, a co do objemu jde o mizivé množství. Pro svou vysokou hustotu je využíván všude tam, kde je žádoucí vysoká hmotnost – například k vyvažování (ve starších letadlech Boeing B747 jako vyrovnávací závaží na zádi, dále v plachetnicích, ropných vrtných soupravách či ve vozech Formule 1). Určité sloučeniny látek, obsahující uran, se nazývají uranová žluť a slouží k barvení skla, glazur a porcelánu na žluto a žlutozeleno. V menší míře dochází k využití v analytické chemii a při tvorbě fotografií (W</w:t>
      </w:r>
      <w:r w:rsidR="0098646E">
        <w:rPr>
          <w:rFonts w:ascii="Times New Roman" w:hAnsi="Times New Roman" w:cs="Times New Roman"/>
          <w:sz w:val="24"/>
          <w:szCs w:val="24"/>
        </w:rPr>
        <w:t>ikipedie</w:t>
      </w:r>
      <w:r w:rsidRPr="00DF128A">
        <w:rPr>
          <w:rFonts w:ascii="Times New Roman" w:hAnsi="Times New Roman" w:cs="Times New Roman"/>
          <w:sz w:val="24"/>
          <w:szCs w:val="24"/>
        </w:rPr>
        <w:t xml:space="preserve"> 2008).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A80C9E">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Cena uranu na světových trzích</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Ještě v roce 2000 stála libra uranu pouhých 7 dolarů. Kvůli oživení zájmu o jadernou energetiku, jež bylo vyvoláno vysokými cenami ropy a globálním úsilím o snížení emisí oxidu uhličitého, cena vystřelila až na rekord v červnu 2007, kdy se libra prodávala za 136 dolarů. Po té cena začala mírně klesat, ale na původní hodnotu se zatím nevrátila a podle odhadů odborníků se ani v dohledné době nevrátí (ČTK </w:t>
      </w:r>
      <w:smartTag w:uri="urn:schemas-microsoft-com:office:smarttags" w:element="metricconverter">
        <w:smartTagPr>
          <w:attr w:name="ProductID" w:val="2007 a"/>
        </w:smartTagPr>
        <w:r w:rsidRPr="00DF128A">
          <w:rPr>
            <w:rFonts w:ascii="Times New Roman" w:hAnsi="Times New Roman" w:cs="Times New Roman"/>
            <w:sz w:val="24"/>
            <w:szCs w:val="24"/>
          </w:rPr>
          <w:t>2007 a</w:t>
        </w:r>
      </w:smartTag>
      <w:r w:rsidRPr="00DF128A">
        <w:rPr>
          <w:rFonts w:ascii="Times New Roman" w:hAnsi="Times New Roman" w:cs="Times New Roman"/>
          <w:sz w:val="24"/>
          <w:szCs w:val="24"/>
        </w:rPr>
        <w:t xml:space="preserve"> WNA 2008).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A80C9E">
      <w:pPr>
        <w:widowControl w:val="0"/>
        <w:spacing w:line="276" w:lineRule="auto"/>
        <w:jc w:val="both"/>
        <w:rPr>
          <w:rFonts w:ascii="Times New Roman" w:hAnsi="Times New Roman" w:cs="Times New Roman"/>
          <w:sz w:val="24"/>
          <w:szCs w:val="24"/>
        </w:rPr>
      </w:pPr>
      <w:r w:rsidRPr="00DF128A">
        <w:rPr>
          <w:rFonts w:ascii="Times New Roman" w:hAnsi="Times New Roman" w:cs="Times New Roman"/>
          <w:noProof/>
          <w:sz w:val="24"/>
          <w:szCs w:val="24"/>
          <w:lang w:eastAsia="cs-CZ"/>
        </w:rPr>
        <w:lastRenderedPageBreak/>
        <w:drawing>
          <wp:inline distT="0" distB="0" distL="0" distR="0" wp14:anchorId="02EB893F" wp14:editId="20FCDE80">
            <wp:extent cx="3480848" cy="2179675"/>
            <wp:effectExtent l="0" t="0" r="5715"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89798" cy="2185280"/>
                    </a:xfrm>
                    <a:prstGeom prst="rect">
                      <a:avLst/>
                    </a:prstGeom>
                    <a:noFill/>
                    <a:ln>
                      <a:noFill/>
                    </a:ln>
                  </pic:spPr>
                </pic:pic>
              </a:graphicData>
            </a:graphic>
          </wp:inline>
        </w:drawing>
      </w:r>
    </w:p>
    <w:p w:rsidR="00DF128A" w:rsidRPr="00DF128A" w:rsidRDefault="00DF128A" w:rsidP="00A80C9E">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 xml:space="preserve">Obr. 1: Cena libry uranu na světových trzích v letech 1995 – 2008 </w:t>
      </w:r>
      <w:r w:rsidRPr="00DF128A">
        <w:rPr>
          <w:rFonts w:ascii="Times New Roman" w:hAnsi="Times New Roman" w:cs="Times New Roman"/>
          <w:sz w:val="24"/>
          <w:szCs w:val="24"/>
        </w:rPr>
        <w:br/>
      </w:r>
      <w:r w:rsidR="004F069E">
        <w:rPr>
          <w:rFonts w:ascii="Times New Roman" w:hAnsi="Times New Roman" w:cs="Times New Roman"/>
          <w:i/>
          <w:sz w:val="20"/>
          <w:szCs w:val="20"/>
        </w:rPr>
        <w:t>Zdroj</w:t>
      </w:r>
      <w:r w:rsidRPr="00A80C9E">
        <w:rPr>
          <w:rFonts w:ascii="Times New Roman" w:hAnsi="Times New Roman" w:cs="Times New Roman"/>
          <w:i/>
          <w:sz w:val="20"/>
          <w:szCs w:val="20"/>
        </w:rPr>
        <w:t>: Uranium Markets, World Nuclear Association  2008</w:t>
      </w:r>
    </w:p>
    <w:p w:rsidR="00A80C9E" w:rsidRDefault="00A80C9E" w:rsidP="00A80C9E">
      <w:pPr>
        <w:widowControl w:val="0"/>
        <w:spacing w:line="276" w:lineRule="auto"/>
        <w:jc w:val="both"/>
        <w:rPr>
          <w:rFonts w:ascii="Times New Roman" w:hAnsi="Times New Roman" w:cs="Times New Roman"/>
          <w:b/>
          <w:sz w:val="24"/>
          <w:szCs w:val="24"/>
        </w:rPr>
      </w:pPr>
    </w:p>
    <w:p w:rsidR="00DF128A" w:rsidRPr="00DF128A" w:rsidRDefault="00A80C9E" w:rsidP="00A80C9E">
      <w:pPr>
        <w:widowControl w:val="0"/>
        <w:spacing w:line="276" w:lineRule="auto"/>
        <w:jc w:val="both"/>
        <w:rPr>
          <w:rFonts w:ascii="Times New Roman" w:hAnsi="Times New Roman" w:cs="Times New Roman"/>
          <w:b/>
          <w:sz w:val="24"/>
          <w:szCs w:val="24"/>
        </w:rPr>
      </w:pPr>
      <w:r>
        <w:rPr>
          <w:rFonts w:ascii="Times New Roman" w:hAnsi="Times New Roman" w:cs="Times New Roman"/>
          <w:b/>
          <w:sz w:val="24"/>
          <w:szCs w:val="24"/>
        </w:rPr>
        <w:t>Těžba</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Na světě se nyní spotřebuje ročně asi 66 000 tun uranu. Těžba přitom činí pouze necelých 40 000 tun, zbývajících 26 000 tun pochází z vyřazených jaderných hlavic pro vojenské rakety či přepracovaného vyhořelého paliva (ČTK 2007, Z</w:t>
      </w:r>
      <w:r w:rsidR="0098646E">
        <w:rPr>
          <w:rFonts w:ascii="Times New Roman" w:hAnsi="Times New Roman" w:cs="Times New Roman"/>
          <w:sz w:val="24"/>
          <w:szCs w:val="24"/>
        </w:rPr>
        <w:t>právy</w:t>
      </w:r>
      <w:r w:rsidRPr="00DF128A">
        <w:rPr>
          <w:rFonts w:ascii="Times New Roman" w:hAnsi="Times New Roman" w:cs="Times New Roman"/>
          <w:sz w:val="24"/>
          <w:szCs w:val="24"/>
        </w:rPr>
        <w:t xml:space="preserve"> 24 2005). V České republice se v roce 2006 vytěžilo 359 tun a byla tak na 12. místě producentů uranu, což znamená podíl 0,9 %.</w:t>
      </w:r>
      <w:r w:rsidR="00E20A69">
        <w:rPr>
          <w:rFonts w:ascii="Times New Roman" w:hAnsi="Times New Roman" w:cs="Times New Roman"/>
          <w:sz w:val="24"/>
          <w:szCs w:val="24"/>
        </w:rPr>
        <w:t xml:space="preserve"> </w:t>
      </w:r>
      <w:r w:rsidRPr="00DF128A">
        <w:rPr>
          <w:rFonts w:ascii="Times New Roman" w:hAnsi="Times New Roman" w:cs="Times New Roman"/>
          <w:sz w:val="24"/>
          <w:szCs w:val="24"/>
        </w:rPr>
        <w:t>Hlavním světovým producentem uranu s podílem 25 % je Kanada, jejíž těžba činí 25</w:t>
      </w:r>
      <w:r w:rsidR="00E20A69">
        <w:rPr>
          <w:rFonts w:ascii="Times New Roman" w:hAnsi="Times New Roman" w:cs="Times New Roman"/>
          <w:sz w:val="24"/>
          <w:szCs w:val="24"/>
        </w:rPr>
        <w:t> </w:t>
      </w:r>
      <w:r w:rsidRPr="00DF128A">
        <w:rPr>
          <w:rFonts w:ascii="Times New Roman" w:hAnsi="Times New Roman" w:cs="Times New Roman"/>
          <w:sz w:val="24"/>
          <w:szCs w:val="24"/>
        </w:rPr>
        <w:t>%. Dalšími významnými hráči na poli produkce uranu jsou Austrálie (19 %) a Kazachstán (13</w:t>
      </w:r>
      <w:r w:rsidR="00E20A69">
        <w:rPr>
          <w:rFonts w:ascii="Times New Roman" w:hAnsi="Times New Roman" w:cs="Times New Roman"/>
          <w:sz w:val="24"/>
          <w:szCs w:val="24"/>
        </w:rPr>
        <w:t> </w:t>
      </w:r>
      <w:r w:rsidRPr="00DF128A">
        <w:rPr>
          <w:rFonts w:ascii="Times New Roman" w:hAnsi="Times New Roman" w:cs="Times New Roman"/>
          <w:sz w:val="24"/>
          <w:szCs w:val="24"/>
        </w:rPr>
        <w:t xml:space="preserve">%). V roce 2006 poklesla těžba v Kanadě i Austrálii kvůli specifickým problémům (WNA 2007).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675D0F" w:rsidRDefault="00DF128A" w:rsidP="00A80C9E">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Tab. 1: Největší producenti uranu, těžba uranu v tunách v letech 2002 - 2006 a podíl jednotlivých států na celkové těžbě v roce 2006 [%]</w:t>
      </w:r>
    </w:p>
    <w:tbl>
      <w:tblPr>
        <w:tblW w:w="7755" w:type="dxa"/>
        <w:tblInd w:w="55" w:type="dxa"/>
        <w:tblCellMar>
          <w:left w:w="70" w:type="dxa"/>
          <w:right w:w="70" w:type="dxa"/>
        </w:tblCellMar>
        <w:tblLook w:val="0000" w:firstRow="0" w:lastRow="0" w:firstColumn="0" w:lastColumn="0" w:noHBand="0" w:noVBand="0"/>
      </w:tblPr>
      <w:tblGrid>
        <w:gridCol w:w="460"/>
        <w:gridCol w:w="1480"/>
        <w:gridCol w:w="960"/>
        <w:gridCol w:w="960"/>
        <w:gridCol w:w="940"/>
        <w:gridCol w:w="960"/>
        <w:gridCol w:w="960"/>
        <w:gridCol w:w="1035"/>
      </w:tblGrid>
      <w:tr w:rsidR="00DF128A" w:rsidRPr="00DF128A" w:rsidTr="00DF128A">
        <w:trPr>
          <w:trHeight w:val="270"/>
        </w:trPr>
        <w:tc>
          <w:tcPr>
            <w:tcW w:w="460" w:type="dxa"/>
            <w:tcBorders>
              <w:top w:val="single" w:sz="4" w:space="0" w:color="auto"/>
              <w:left w:val="single" w:sz="4" w:space="0" w:color="auto"/>
              <w:bottom w:val="double" w:sz="6" w:space="0" w:color="auto"/>
              <w:right w:val="single" w:sz="4" w:space="0" w:color="auto"/>
            </w:tcBorders>
            <w:shd w:val="clear" w:color="auto" w:fill="auto"/>
            <w:noWrap/>
            <w:vAlign w:val="bottom"/>
          </w:tcPr>
          <w:p w:rsidR="00DF128A" w:rsidRPr="00DF128A" w:rsidRDefault="00DF128A" w:rsidP="00DF128A">
            <w:pPr>
              <w:widowControl w:val="0"/>
              <w:spacing w:line="276" w:lineRule="auto"/>
              <w:ind w:firstLine="709"/>
              <w:jc w:val="both"/>
              <w:rPr>
                <w:rFonts w:ascii="Times New Roman" w:hAnsi="Times New Roman" w:cs="Times New Roman"/>
                <w:b/>
                <w:bCs/>
                <w:sz w:val="24"/>
                <w:szCs w:val="24"/>
              </w:rPr>
            </w:pPr>
            <w:r w:rsidRPr="00DF128A">
              <w:rPr>
                <w:rFonts w:ascii="Times New Roman" w:hAnsi="Times New Roman" w:cs="Times New Roman"/>
                <w:b/>
                <w:bCs/>
                <w:sz w:val="24"/>
                <w:szCs w:val="24"/>
              </w:rPr>
              <w:t> </w:t>
            </w:r>
          </w:p>
        </w:tc>
        <w:tc>
          <w:tcPr>
            <w:tcW w:w="1480" w:type="dxa"/>
            <w:tcBorders>
              <w:top w:val="single" w:sz="4" w:space="0" w:color="auto"/>
              <w:left w:val="nil"/>
              <w:bottom w:val="double" w:sz="6"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Stát</w:t>
            </w:r>
          </w:p>
        </w:tc>
        <w:tc>
          <w:tcPr>
            <w:tcW w:w="960" w:type="dxa"/>
            <w:tcBorders>
              <w:top w:val="single" w:sz="4" w:space="0" w:color="auto"/>
              <w:left w:val="nil"/>
              <w:bottom w:val="double" w:sz="6"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2002</w:t>
            </w:r>
          </w:p>
        </w:tc>
        <w:tc>
          <w:tcPr>
            <w:tcW w:w="960" w:type="dxa"/>
            <w:tcBorders>
              <w:top w:val="single" w:sz="4" w:space="0" w:color="auto"/>
              <w:left w:val="nil"/>
              <w:bottom w:val="double" w:sz="6"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2003</w:t>
            </w:r>
          </w:p>
        </w:tc>
        <w:tc>
          <w:tcPr>
            <w:tcW w:w="940" w:type="dxa"/>
            <w:tcBorders>
              <w:top w:val="single" w:sz="4" w:space="0" w:color="auto"/>
              <w:left w:val="nil"/>
              <w:bottom w:val="double" w:sz="6"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2004</w:t>
            </w:r>
          </w:p>
        </w:tc>
        <w:tc>
          <w:tcPr>
            <w:tcW w:w="960" w:type="dxa"/>
            <w:tcBorders>
              <w:top w:val="single" w:sz="4" w:space="0" w:color="auto"/>
              <w:left w:val="nil"/>
              <w:bottom w:val="double" w:sz="6"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2005</w:t>
            </w:r>
          </w:p>
        </w:tc>
        <w:tc>
          <w:tcPr>
            <w:tcW w:w="960" w:type="dxa"/>
            <w:tcBorders>
              <w:top w:val="single" w:sz="4" w:space="0" w:color="auto"/>
              <w:left w:val="nil"/>
              <w:bottom w:val="double" w:sz="6"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2006</w:t>
            </w:r>
          </w:p>
        </w:tc>
        <w:tc>
          <w:tcPr>
            <w:tcW w:w="1035" w:type="dxa"/>
            <w:tcBorders>
              <w:top w:val="single" w:sz="4" w:space="0" w:color="auto"/>
              <w:left w:val="nil"/>
              <w:bottom w:val="double" w:sz="6"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Podíl ´06</w:t>
            </w:r>
          </w:p>
        </w:tc>
      </w:tr>
      <w:tr w:rsidR="00DF128A" w:rsidRPr="00DF128A" w:rsidTr="00DF128A">
        <w:trPr>
          <w:trHeight w:val="270"/>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Kanada</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11 604</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10 457</w:t>
            </w:r>
          </w:p>
        </w:tc>
        <w:tc>
          <w:tcPr>
            <w:tcW w:w="94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11 597</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11 628</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9 862</w:t>
            </w:r>
          </w:p>
        </w:tc>
        <w:tc>
          <w:tcPr>
            <w:tcW w:w="103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25,0</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Austrálie</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6 854</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7 572</w:t>
            </w:r>
          </w:p>
        </w:tc>
        <w:tc>
          <w:tcPr>
            <w:tcW w:w="94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8 982</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9 516</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7 593</w:t>
            </w:r>
          </w:p>
        </w:tc>
        <w:tc>
          <w:tcPr>
            <w:tcW w:w="103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19,3</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Kazachstán</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2 800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3 300</w:t>
            </w:r>
          </w:p>
        </w:tc>
        <w:tc>
          <w:tcPr>
            <w:tcW w:w="94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3 719</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4 357</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5 279</w:t>
            </w:r>
          </w:p>
        </w:tc>
        <w:tc>
          <w:tcPr>
            <w:tcW w:w="103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13,4</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4.</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Niger</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3 075</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3 143</w:t>
            </w:r>
          </w:p>
        </w:tc>
        <w:tc>
          <w:tcPr>
            <w:tcW w:w="94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3 282</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3 093</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3 434</w:t>
            </w:r>
          </w:p>
        </w:tc>
        <w:tc>
          <w:tcPr>
            <w:tcW w:w="103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8,7</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5.</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Rusko</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2 900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3 150</w:t>
            </w:r>
          </w:p>
        </w:tc>
        <w:tc>
          <w:tcPr>
            <w:tcW w:w="94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3 200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3 431</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3 262</w:t>
            </w:r>
          </w:p>
        </w:tc>
        <w:tc>
          <w:tcPr>
            <w:tcW w:w="103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8,3</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6.</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Namibie</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2 333</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2 036</w:t>
            </w:r>
          </w:p>
        </w:tc>
        <w:tc>
          <w:tcPr>
            <w:tcW w:w="94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3 038</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3 147</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3 067</w:t>
            </w:r>
          </w:p>
        </w:tc>
        <w:tc>
          <w:tcPr>
            <w:tcW w:w="103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7,8</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Uzbekistán</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1 860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1 598</w:t>
            </w:r>
          </w:p>
        </w:tc>
        <w:tc>
          <w:tcPr>
            <w:tcW w:w="94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2 016</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2 300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2 260</w:t>
            </w:r>
          </w:p>
        </w:tc>
        <w:tc>
          <w:tcPr>
            <w:tcW w:w="103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5,7</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8.</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USA</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919</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779</w:t>
            </w:r>
          </w:p>
        </w:tc>
        <w:tc>
          <w:tcPr>
            <w:tcW w:w="94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878</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1 039</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1 672</w:t>
            </w:r>
          </w:p>
        </w:tc>
        <w:tc>
          <w:tcPr>
            <w:tcW w:w="103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4,2</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9.</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Ukrajina</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800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800</w:t>
            </w:r>
          </w:p>
        </w:tc>
        <w:tc>
          <w:tcPr>
            <w:tcW w:w="94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800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800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800</w:t>
            </w:r>
          </w:p>
        </w:tc>
        <w:tc>
          <w:tcPr>
            <w:tcW w:w="103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2,0</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10.</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Čína</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730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750</w:t>
            </w:r>
          </w:p>
        </w:tc>
        <w:tc>
          <w:tcPr>
            <w:tcW w:w="94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750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750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750</w:t>
            </w:r>
          </w:p>
        </w:tc>
        <w:tc>
          <w:tcPr>
            <w:tcW w:w="103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1,9</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11.</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JAR</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824</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758</w:t>
            </w:r>
          </w:p>
        </w:tc>
        <w:tc>
          <w:tcPr>
            <w:tcW w:w="94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755</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674</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534</w:t>
            </w:r>
          </w:p>
        </w:tc>
        <w:tc>
          <w:tcPr>
            <w:tcW w:w="103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1,4</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12.</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ČR</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465</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452</w:t>
            </w:r>
          </w:p>
        </w:tc>
        <w:tc>
          <w:tcPr>
            <w:tcW w:w="94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412</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408</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359</w:t>
            </w:r>
          </w:p>
        </w:tc>
        <w:tc>
          <w:tcPr>
            <w:tcW w:w="103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0,9</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13.</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Indie</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230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230</w:t>
            </w:r>
          </w:p>
        </w:tc>
        <w:tc>
          <w:tcPr>
            <w:tcW w:w="94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230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230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177</w:t>
            </w:r>
          </w:p>
        </w:tc>
        <w:tc>
          <w:tcPr>
            <w:tcW w:w="103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0,4</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14.</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Brazílie</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270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310</w:t>
            </w:r>
          </w:p>
        </w:tc>
        <w:tc>
          <w:tcPr>
            <w:tcW w:w="94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300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110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190</w:t>
            </w:r>
          </w:p>
        </w:tc>
        <w:tc>
          <w:tcPr>
            <w:tcW w:w="103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0,5</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15.</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Rumunsko</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90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90</w:t>
            </w:r>
          </w:p>
        </w:tc>
        <w:tc>
          <w:tcPr>
            <w:tcW w:w="94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90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90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90</w:t>
            </w:r>
          </w:p>
        </w:tc>
        <w:tc>
          <w:tcPr>
            <w:tcW w:w="103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0,2</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16.</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Německo</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212</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150</w:t>
            </w:r>
          </w:p>
        </w:tc>
        <w:tc>
          <w:tcPr>
            <w:tcW w:w="94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150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77</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50</w:t>
            </w:r>
          </w:p>
        </w:tc>
        <w:tc>
          <w:tcPr>
            <w:tcW w:w="103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0,1</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17.</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Pákistán</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38</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45</w:t>
            </w:r>
          </w:p>
        </w:tc>
        <w:tc>
          <w:tcPr>
            <w:tcW w:w="94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45</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45</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45</w:t>
            </w:r>
          </w:p>
        </w:tc>
        <w:tc>
          <w:tcPr>
            <w:tcW w:w="103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0,1</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18.</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Francie</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0</w:t>
            </w:r>
          </w:p>
        </w:tc>
        <w:tc>
          <w:tcPr>
            <w:tcW w:w="94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5</w:t>
            </w:r>
          </w:p>
        </w:tc>
        <w:tc>
          <w:tcPr>
            <w:tcW w:w="103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0,0</w:t>
            </w:r>
          </w:p>
        </w:tc>
      </w:tr>
      <w:tr w:rsidR="00DF128A" w:rsidRPr="00DF128A" w:rsidTr="00DF128A">
        <w:trPr>
          <w:trHeight w:val="255"/>
        </w:trPr>
        <w:tc>
          <w:tcPr>
            <w:tcW w:w="1940" w:type="dxa"/>
            <w:gridSpan w:val="2"/>
            <w:tcBorders>
              <w:top w:val="single" w:sz="4" w:space="0" w:color="auto"/>
              <w:left w:val="single" w:sz="4" w:space="0" w:color="auto"/>
              <w:bottom w:val="single" w:sz="4" w:space="0" w:color="auto"/>
              <w:right w:val="double" w:sz="6" w:space="0" w:color="000000"/>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Celková těžba</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36 063</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35 613</w:t>
            </w:r>
          </w:p>
        </w:tc>
        <w:tc>
          <w:tcPr>
            <w:tcW w:w="94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40 251</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41 702</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39 429</w:t>
            </w:r>
          </w:p>
        </w:tc>
        <w:tc>
          <w:tcPr>
            <w:tcW w:w="103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100,0</w:t>
            </w:r>
          </w:p>
        </w:tc>
      </w:tr>
    </w:tbl>
    <w:p w:rsidR="00DF128A" w:rsidRPr="00A80C9E" w:rsidRDefault="004F069E" w:rsidP="00A80C9E">
      <w:pPr>
        <w:widowControl w:val="0"/>
        <w:spacing w:line="276" w:lineRule="auto"/>
        <w:jc w:val="both"/>
        <w:rPr>
          <w:rFonts w:ascii="Times New Roman" w:hAnsi="Times New Roman" w:cs="Times New Roman"/>
          <w:i/>
          <w:sz w:val="20"/>
          <w:szCs w:val="20"/>
        </w:rPr>
      </w:pPr>
      <w:r>
        <w:rPr>
          <w:rFonts w:ascii="Times New Roman" w:hAnsi="Times New Roman" w:cs="Times New Roman"/>
          <w:i/>
          <w:sz w:val="20"/>
          <w:szCs w:val="20"/>
        </w:rPr>
        <w:t>Zdroj</w:t>
      </w:r>
      <w:r w:rsidR="00DF128A" w:rsidRPr="00A80C9E">
        <w:rPr>
          <w:rFonts w:ascii="Times New Roman" w:hAnsi="Times New Roman" w:cs="Times New Roman"/>
          <w:i/>
          <w:sz w:val="20"/>
          <w:szCs w:val="20"/>
        </w:rPr>
        <w:t>: World Uranium M</w:t>
      </w:r>
      <w:r w:rsidR="0098646E">
        <w:rPr>
          <w:rFonts w:ascii="Times New Roman" w:hAnsi="Times New Roman" w:cs="Times New Roman"/>
          <w:i/>
          <w:sz w:val="20"/>
          <w:szCs w:val="20"/>
        </w:rPr>
        <w:t>ining, World Nuclear Association 2007,</w:t>
      </w:r>
      <w:r w:rsidR="00DF128A" w:rsidRPr="00A80C9E">
        <w:rPr>
          <w:rFonts w:ascii="Times New Roman" w:hAnsi="Times New Roman" w:cs="Times New Roman"/>
          <w:i/>
          <w:sz w:val="20"/>
          <w:szCs w:val="20"/>
        </w:rPr>
        <w:t xml:space="preserve"> vlastní výpočty</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Mezi osmnácti největšími producenty se nachází jen 5 evropských států (bez Ruska) - Ukrajina, ČR, Rumunsko, Německo a Francie. Žádný z nich však nedosahuje ani roční těžby 1 000 tun. V případě Ukrajiny a Rumunska je objem produkce několik let konstantní, u zbylých států se těžba utlumuje. Celkově na těchto pět zemí připadá 3,2 % objemu.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Hlavním centrem těžby je severoamerický kontinent, kde podíl Kanady a USA je téměř 30 %. Skoro stejného objemu dosahuje oblast bývalého SSSR (Rusko, Kazachstán, Uzbekistán). Největším africkým producentem je Niger s podílem 8,7 %.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A80C9E">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 xml:space="preserve">Nejdůležitější společnosti těžící uran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Více než čtyři pětiny trhu s uranem připadají na 8 společností. Třemi největšími, které ovládají přes 50 % světového trhu, jsou kanadská firma Cameco, britsko-australská Rio Tinto a francouzská Areva. Kanadské společnosti Cameco a Uranium One mají dohromady podíl 23,4 %, tedy zhruba stejný jako podíl Kanady na světové těžbě. Ale už druhá společnost v pořadí, Rio Tinto, společně s další australskou firmou BHP Billiton ovládá větší část trhu, než její mateřská země těží (za předpokladu, že pomineme britský kapitál v Rio Tinto, protože těžbě uranu se věnuje australská část firmy). Jejich společný podíl představuje 25,3 %, zatímco Austrálie těží o 6 % méně. Nejvýraznější rozdíl však vykazuje Francie - její těžba je téměř zanedbatelná, avšak francouzská společnost Areva tvoří 13,4 % trhu. Kazašský státní podnik KazAtomProm ovládá o něco menší podíl, než jeho domovský stát těží. Ruská společnost TVEL a uzbecká Navoi pak mají podíl trhu a těžby jejich mateřských zemí přesně stejný.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A80C9E">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Tab. 2: Největší společnosti podílející se na těžbě uranu v roce 2006</w:t>
      </w:r>
      <w:r w:rsidRPr="00DF128A">
        <w:rPr>
          <w:rStyle w:val="Znakapoznpodarou"/>
          <w:rFonts w:ascii="Times New Roman" w:hAnsi="Times New Roman" w:cs="Times New Roman"/>
          <w:sz w:val="24"/>
          <w:szCs w:val="24"/>
        </w:rPr>
        <w:footnoteReference w:id="35"/>
      </w:r>
    </w:p>
    <w:tbl>
      <w:tblPr>
        <w:tblW w:w="6315" w:type="dxa"/>
        <w:tblInd w:w="55" w:type="dxa"/>
        <w:tblLayout w:type="fixed"/>
        <w:tblCellMar>
          <w:left w:w="70" w:type="dxa"/>
          <w:right w:w="70" w:type="dxa"/>
        </w:tblCellMar>
        <w:tblLook w:val="0000" w:firstRow="0" w:lastRow="0" w:firstColumn="0" w:lastColumn="0" w:noHBand="0" w:noVBand="0"/>
      </w:tblPr>
      <w:tblGrid>
        <w:gridCol w:w="460"/>
        <w:gridCol w:w="1480"/>
        <w:gridCol w:w="960"/>
        <w:gridCol w:w="960"/>
        <w:gridCol w:w="2455"/>
      </w:tblGrid>
      <w:tr w:rsidR="00DF128A" w:rsidRPr="00DF128A" w:rsidTr="00DF128A">
        <w:trPr>
          <w:trHeight w:val="255"/>
        </w:trPr>
        <w:tc>
          <w:tcPr>
            <w:tcW w:w="4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tcPr>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w:t>
            </w:r>
          </w:p>
        </w:tc>
        <w:tc>
          <w:tcPr>
            <w:tcW w:w="1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F128A" w:rsidRPr="00A80C9E" w:rsidRDefault="00DF128A" w:rsidP="00A80C9E">
            <w:pPr>
              <w:widowControl w:val="0"/>
              <w:jc w:val="center"/>
              <w:rPr>
                <w:rFonts w:cstheme="minorHAnsi"/>
                <w:sz w:val="20"/>
                <w:szCs w:val="20"/>
              </w:rPr>
            </w:pPr>
            <w:r w:rsidRPr="00A80C9E">
              <w:rPr>
                <w:rFonts w:cstheme="minorHAnsi"/>
                <w:sz w:val="20"/>
                <w:szCs w:val="20"/>
              </w:rPr>
              <w:t>Společnost</w:t>
            </w:r>
          </w:p>
        </w:tc>
        <w:tc>
          <w:tcPr>
            <w:tcW w:w="1920" w:type="dxa"/>
            <w:gridSpan w:val="2"/>
            <w:tcBorders>
              <w:top w:val="single" w:sz="4" w:space="0" w:color="auto"/>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Produkce</w:t>
            </w:r>
          </w:p>
        </w:tc>
        <w:tc>
          <w:tcPr>
            <w:tcW w:w="245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F128A" w:rsidRPr="00A80C9E" w:rsidRDefault="00DF128A" w:rsidP="00A80C9E">
            <w:pPr>
              <w:widowControl w:val="0"/>
              <w:jc w:val="center"/>
              <w:rPr>
                <w:rFonts w:cstheme="minorHAnsi"/>
                <w:sz w:val="20"/>
                <w:szCs w:val="20"/>
              </w:rPr>
            </w:pPr>
            <w:r w:rsidRPr="00A80C9E">
              <w:rPr>
                <w:rFonts w:cstheme="minorHAnsi"/>
                <w:sz w:val="20"/>
                <w:szCs w:val="20"/>
              </w:rPr>
              <w:t>Stát</w:t>
            </w:r>
          </w:p>
        </w:tc>
      </w:tr>
      <w:tr w:rsidR="00DF128A" w:rsidRPr="00DF128A" w:rsidTr="00DF128A">
        <w:trPr>
          <w:trHeight w:val="255"/>
        </w:trPr>
        <w:tc>
          <w:tcPr>
            <w:tcW w:w="460" w:type="dxa"/>
            <w:vMerge/>
            <w:tcBorders>
              <w:top w:val="single" w:sz="4" w:space="0" w:color="auto"/>
              <w:left w:val="single" w:sz="4" w:space="0" w:color="auto"/>
              <w:bottom w:val="single" w:sz="4" w:space="0" w:color="000000"/>
              <w:right w:val="single" w:sz="4" w:space="0" w:color="auto"/>
            </w:tcBorders>
            <w:vAlign w:val="center"/>
          </w:tcPr>
          <w:p w:rsidR="00DF128A" w:rsidRPr="00DF128A" w:rsidRDefault="00DF128A" w:rsidP="00DF128A">
            <w:pPr>
              <w:widowControl w:val="0"/>
              <w:spacing w:line="276" w:lineRule="auto"/>
              <w:ind w:firstLine="709"/>
              <w:jc w:val="both"/>
              <w:rPr>
                <w:rFonts w:ascii="Times New Roman" w:hAnsi="Times New Roman" w:cs="Times New Roman"/>
                <w:sz w:val="24"/>
                <w:szCs w:val="24"/>
              </w:rPr>
            </w:pPr>
          </w:p>
        </w:tc>
        <w:tc>
          <w:tcPr>
            <w:tcW w:w="1480" w:type="dxa"/>
            <w:vMerge/>
            <w:tcBorders>
              <w:top w:val="single" w:sz="4" w:space="0" w:color="auto"/>
              <w:left w:val="single" w:sz="4" w:space="0" w:color="auto"/>
              <w:bottom w:val="single" w:sz="4" w:space="0" w:color="auto"/>
              <w:right w:val="single" w:sz="4" w:space="0" w:color="auto"/>
            </w:tcBorders>
            <w:vAlign w:val="center"/>
          </w:tcPr>
          <w:p w:rsidR="00DF128A" w:rsidRPr="00A80C9E" w:rsidRDefault="00DF128A" w:rsidP="00A80C9E">
            <w:pPr>
              <w:widowControl w:val="0"/>
              <w:jc w:val="center"/>
              <w:rPr>
                <w:rFonts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[t]</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w:t>
            </w:r>
          </w:p>
        </w:tc>
        <w:tc>
          <w:tcPr>
            <w:tcW w:w="2455" w:type="dxa"/>
            <w:vMerge/>
            <w:tcBorders>
              <w:top w:val="single" w:sz="4" w:space="0" w:color="auto"/>
              <w:left w:val="single" w:sz="4" w:space="0" w:color="auto"/>
              <w:bottom w:val="single" w:sz="4" w:space="0" w:color="auto"/>
              <w:right w:val="single" w:sz="4" w:space="0" w:color="auto"/>
            </w:tcBorders>
            <w:vAlign w:val="center"/>
          </w:tcPr>
          <w:p w:rsidR="00DF128A" w:rsidRPr="00A80C9E" w:rsidRDefault="00DF128A" w:rsidP="00A80C9E">
            <w:pPr>
              <w:widowControl w:val="0"/>
              <w:jc w:val="center"/>
              <w:rPr>
                <w:rFonts w:cstheme="minorHAnsi"/>
                <w:sz w:val="20"/>
                <w:szCs w:val="20"/>
              </w:rPr>
            </w:pP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w:t>
            </w:r>
          </w:p>
        </w:tc>
        <w:tc>
          <w:tcPr>
            <w:tcW w:w="148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Cameco</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8 249</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20,9</w:t>
            </w:r>
          </w:p>
        </w:tc>
        <w:tc>
          <w:tcPr>
            <w:tcW w:w="245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Kanada</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w:t>
            </w:r>
          </w:p>
        </w:tc>
        <w:tc>
          <w:tcPr>
            <w:tcW w:w="148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Rio Tinto</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7 094</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18,0</w:t>
            </w:r>
          </w:p>
        </w:tc>
        <w:tc>
          <w:tcPr>
            <w:tcW w:w="245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Velká Británie / Austrálie</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w:t>
            </w:r>
          </w:p>
        </w:tc>
        <w:tc>
          <w:tcPr>
            <w:tcW w:w="148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Areva</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5 272</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13,4</w:t>
            </w:r>
          </w:p>
        </w:tc>
        <w:tc>
          <w:tcPr>
            <w:tcW w:w="245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Francie</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4.</w:t>
            </w:r>
          </w:p>
        </w:tc>
        <w:tc>
          <w:tcPr>
            <w:tcW w:w="148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KazAtomProm</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3 699</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9,4</w:t>
            </w:r>
          </w:p>
        </w:tc>
        <w:tc>
          <w:tcPr>
            <w:tcW w:w="245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Kazachstán</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5.</w:t>
            </w:r>
          </w:p>
        </w:tc>
        <w:tc>
          <w:tcPr>
            <w:tcW w:w="148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TVEL</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3 262</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8,3</w:t>
            </w:r>
          </w:p>
        </w:tc>
        <w:tc>
          <w:tcPr>
            <w:tcW w:w="245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Rusko</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6.</w:t>
            </w:r>
          </w:p>
        </w:tc>
        <w:tc>
          <w:tcPr>
            <w:tcW w:w="148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BHP Biliton</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2 868</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7,3</w:t>
            </w:r>
          </w:p>
        </w:tc>
        <w:tc>
          <w:tcPr>
            <w:tcW w:w="245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Austrálie</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w:t>
            </w:r>
          </w:p>
        </w:tc>
        <w:tc>
          <w:tcPr>
            <w:tcW w:w="148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Navoi</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2 260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5,7</w:t>
            </w:r>
          </w:p>
        </w:tc>
        <w:tc>
          <w:tcPr>
            <w:tcW w:w="245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Uzbekistán</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8.</w:t>
            </w:r>
          </w:p>
        </w:tc>
        <w:tc>
          <w:tcPr>
            <w:tcW w:w="148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Uranium One</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1 000</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2,5</w:t>
            </w:r>
          </w:p>
        </w:tc>
        <w:tc>
          <w:tcPr>
            <w:tcW w:w="245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Kanada</w:t>
            </w:r>
          </w:p>
        </w:tc>
      </w:tr>
      <w:tr w:rsidR="00DF128A" w:rsidRPr="00DF128A" w:rsidTr="00DF128A">
        <w:trPr>
          <w:trHeight w:val="255"/>
        </w:trPr>
        <w:tc>
          <w:tcPr>
            <w:tcW w:w="194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TOP 8</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33 704</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85,5</w:t>
            </w:r>
          </w:p>
        </w:tc>
        <w:tc>
          <w:tcPr>
            <w:tcW w:w="2455"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 </w:t>
            </w:r>
          </w:p>
        </w:tc>
      </w:tr>
    </w:tbl>
    <w:p w:rsidR="00DF128A" w:rsidRPr="00A80C9E" w:rsidRDefault="004F069E" w:rsidP="00A80C9E">
      <w:pPr>
        <w:widowControl w:val="0"/>
        <w:spacing w:line="276" w:lineRule="auto"/>
        <w:jc w:val="both"/>
        <w:rPr>
          <w:rFonts w:ascii="Times New Roman" w:hAnsi="Times New Roman" w:cs="Times New Roman"/>
          <w:i/>
          <w:sz w:val="20"/>
          <w:szCs w:val="20"/>
        </w:rPr>
      </w:pPr>
      <w:r>
        <w:rPr>
          <w:rFonts w:ascii="Times New Roman" w:hAnsi="Times New Roman" w:cs="Times New Roman"/>
          <w:i/>
          <w:sz w:val="20"/>
          <w:szCs w:val="20"/>
        </w:rPr>
        <w:t>Zdroj</w:t>
      </w:r>
      <w:r w:rsidR="00DF128A" w:rsidRPr="00A80C9E">
        <w:rPr>
          <w:rFonts w:ascii="Times New Roman" w:hAnsi="Times New Roman" w:cs="Times New Roman"/>
          <w:i/>
          <w:sz w:val="20"/>
          <w:szCs w:val="20"/>
        </w:rPr>
        <w:t>: World Uranium Mining, World Nuclear Association 2007</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128A" w:rsidP="00A80C9E">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Doprava</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Podle Světové nukleární asociace (WNA) je každý rok přepraveno po veřejných silnicích, železnicích a na lodích okolo 20 milionů „balíků“ všech velikostí, obsahujících radioaktivní materiál. Používají se masivní a bezpečné kontejnery. Na moři je přepravován na lodích postavených za tímto účelem. Nikdy se nestalo, že by byl kontejner s vysoce radioaktivním materiálem nějak porušen. Při jejich přepravě bývá omezována veřejná doprava.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lastRenderedPageBreak/>
        <w:t xml:space="preserve">Kontejnery jsou testovány proti ohni, nárazu, vodě, tlaku, teplu a chladu. Ačkoliv to nevyžadují žádná pravidla, jaderný průmysl používá k přepravě materiálu speciální vozidla.   </w:t>
      </w:r>
    </w:p>
    <w:p w:rsidR="00A80C9E" w:rsidRDefault="00A80C9E" w:rsidP="00A80C9E">
      <w:pPr>
        <w:widowControl w:val="0"/>
        <w:spacing w:line="276" w:lineRule="auto"/>
        <w:jc w:val="both"/>
        <w:rPr>
          <w:rFonts w:ascii="Times New Roman" w:hAnsi="Times New Roman" w:cs="Times New Roman"/>
          <w:sz w:val="24"/>
          <w:szCs w:val="24"/>
        </w:rPr>
      </w:pPr>
    </w:p>
    <w:p w:rsidR="00DF128A" w:rsidRPr="00DF128A" w:rsidRDefault="00DF128A" w:rsidP="00A80C9E">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Spotřeba uranu</w:t>
      </w:r>
    </w:p>
    <w:p w:rsidR="00DF128A" w:rsidRPr="00DF128A" w:rsidRDefault="00DF128A" w:rsidP="00A80C9E">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 xml:space="preserve">Tab. 3: Předpokládaní největší světoví spotřebitelé uranu v roce 2008   </w:t>
      </w:r>
    </w:p>
    <w:tbl>
      <w:tblPr>
        <w:tblW w:w="7720" w:type="dxa"/>
        <w:tblInd w:w="55" w:type="dxa"/>
        <w:tblLayout w:type="fixed"/>
        <w:tblCellMar>
          <w:left w:w="70" w:type="dxa"/>
          <w:right w:w="70" w:type="dxa"/>
        </w:tblCellMar>
        <w:tblLook w:val="0000" w:firstRow="0" w:lastRow="0" w:firstColumn="0" w:lastColumn="0" w:noHBand="0" w:noVBand="0"/>
      </w:tblPr>
      <w:tblGrid>
        <w:gridCol w:w="460"/>
        <w:gridCol w:w="1480"/>
        <w:gridCol w:w="960"/>
        <w:gridCol w:w="960"/>
        <w:gridCol w:w="460"/>
        <w:gridCol w:w="1480"/>
        <w:gridCol w:w="960"/>
        <w:gridCol w:w="960"/>
      </w:tblGrid>
      <w:tr w:rsidR="00DF128A" w:rsidRPr="00DF128A" w:rsidTr="00DF128A">
        <w:trPr>
          <w:trHeight w:val="255"/>
        </w:trPr>
        <w:tc>
          <w:tcPr>
            <w:tcW w:w="460" w:type="dxa"/>
            <w:vMerge w:val="restart"/>
            <w:tcBorders>
              <w:top w:val="single" w:sz="4" w:space="0" w:color="auto"/>
              <w:left w:val="single" w:sz="4" w:space="0" w:color="auto"/>
              <w:bottom w:val="double" w:sz="6" w:space="0" w:color="000000"/>
              <w:right w:val="single" w:sz="4" w:space="0" w:color="auto"/>
            </w:tcBorders>
            <w:shd w:val="clear" w:color="auto" w:fill="auto"/>
            <w:noWrap/>
            <w:vAlign w:val="bottom"/>
          </w:tcPr>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w:t>
            </w:r>
          </w:p>
        </w:tc>
        <w:tc>
          <w:tcPr>
            <w:tcW w:w="1480" w:type="dxa"/>
            <w:vMerge w:val="restart"/>
            <w:tcBorders>
              <w:top w:val="single" w:sz="4" w:space="0" w:color="auto"/>
              <w:left w:val="single" w:sz="4" w:space="0" w:color="auto"/>
              <w:bottom w:val="double" w:sz="6" w:space="0" w:color="000000"/>
              <w:right w:val="double" w:sz="6" w:space="0" w:color="auto"/>
            </w:tcBorders>
            <w:shd w:val="clear" w:color="auto" w:fill="auto"/>
            <w:noWrap/>
            <w:vAlign w:val="center"/>
          </w:tcPr>
          <w:p w:rsidR="00DF128A" w:rsidRPr="00A80C9E" w:rsidRDefault="00DF128A" w:rsidP="00A80C9E">
            <w:pPr>
              <w:widowControl w:val="0"/>
              <w:jc w:val="center"/>
              <w:rPr>
                <w:rFonts w:cstheme="minorHAnsi"/>
                <w:sz w:val="20"/>
                <w:szCs w:val="20"/>
              </w:rPr>
            </w:pPr>
            <w:r w:rsidRPr="00A80C9E">
              <w:rPr>
                <w:rFonts w:cstheme="minorHAnsi"/>
                <w:sz w:val="20"/>
                <w:szCs w:val="20"/>
              </w:rPr>
              <w:t>Stát</w:t>
            </w:r>
          </w:p>
        </w:tc>
        <w:tc>
          <w:tcPr>
            <w:tcW w:w="1920" w:type="dxa"/>
            <w:gridSpan w:val="2"/>
            <w:tcBorders>
              <w:top w:val="single" w:sz="4" w:space="0" w:color="auto"/>
              <w:left w:val="nil"/>
              <w:bottom w:val="single" w:sz="4" w:space="0" w:color="auto"/>
              <w:right w:val="single" w:sz="12"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Spotřeba</w:t>
            </w:r>
          </w:p>
        </w:tc>
        <w:tc>
          <w:tcPr>
            <w:tcW w:w="460" w:type="dxa"/>
            <w:vMerge w:val="restart"/>
            <w:tcBorders>
              <w:top w:val="single" w:sz="4" w:space="0" w:color="auto"/>
              <w:left w:val="single" w:sz="12" w:space="0" w:color="auto"/>
              <w:bottom w:val="double" w:sz="6" w:space="0" w:color="000000"/>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 </w:t>
            </w:r>
          </w:p>
        </w:tc>
        <w:tc>
          <w:tcPr>
            <w:tcW w:w="1480" w:type="dxa"/>
            <w:vMerge w:val="restart"/>
            <w:tcBorders>
              <w:top w:val="single" w:sz="4" w:space="0" w:color="auto"/>
              <w:left w:val="single" w:sz="4" w:space="0" w:color="auto"/>
              <w:bottom w:val="double" w:sz="6" w:space="0" w:color="000000"/>
              <w:right w:val="double" w:sz="6" w:space="0" w:color="auto"/>
            </w:tcBorders>
            <w:shd w:val="clear" w:color="auto" w:fill="auto"/>
            <w:noWrap/>
            <w:vAlign w:val="center"/>
          </w:tcPr>
          <w:p w:rsidR="00DF128A" w:rsidRPr="00A80C9E" w:rsidRDefault="00DF128A" w:rsidP="00A80C9E">
            <w:pPr>
              <w:widowControl w:val="0"/>
              <w:jc w:val="center"/>
              <w:rPr>
                <w:rFonts w:cstheme="minorHAnsi"/>
                <w:sz w:val="20"/>
                <w:szCs w:val="20"/>
              </w:rPr>
            </w:pPr>
            <w:r w:rsidRPr="00A80C9E">
              <w:rPr>
                <w:rFonts w:cstheme="minorHAnsi"/>
                <w:sz w:val="20"/>
                <w:szCs w:val="20"/>
              </w:rPr>
              <w:t>Stát</w:t>
            </w:r>
          </w:p>
        </w:tc>
        <w:tc>
          <w:tcPr>
            <w:tcW w:w="1920" w:type="dxa"/>
            <w:gridSpan w:val="2"/>
            <w:tcBorders>
              <w:top w:val="single" w:sz="4" w:space="0" w:color="auto"/>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Spotřeba</w:t>
            </w:r>
          </w:p>
        </w:tc>
      </w:tr>
      <w:tr w:rsidR="00DF128A" w:rsidRPr="00DF128A" w:rsidTr="00DF128A">
        <w:trPr>
          <w:trHeight w:val="270"/>
        </w:trPr>
        <w:tc>
          <w:tcPr>
            <w:tcW w:w="460" w:type="dxa"/>
            <w:vMerge/>
            <w:tcBorders>
              <w:top w:val="single" w:sz="4" w:space="0" w:color="auto"/>
              <w:left w:val="single" w:sz="4" w:space="0" w:color="auto"/>
              <w:bottom w:val="double" w:sz="6" w:space="0" w:color="000000"/>
              <w:right w:val="single" w:sz="4" w:space="0" w:color="auto"/>
            </w:tcBorders>
            <w:vAlign w:val="center"/>
          </w:tcPr>
          <w:p w:rsidR="00DF128A" w:rsidRPr="00DF128A" w:rsidRDefault="00DF128A" w:rsidP="00DF128A">
            <w:pPr>
              <w:widowControl w:val="0"/>
              <w:spacing w:line="276" w:lineRule="auto"/>
              <w:ind w:firstLine="709"/>
              <w:jc w:val="both"/>
              <w:rPr>
                <w:rFonts w:ascii="Times New Roman" w:hAnsi="Times New Roman" w:cs="Times New Roman"/>
                <w:sz w:val="24"/>
                <w:szCs w:val="24"/>
              </w:rPr>
            </w:pPr>
          </w:p>
        </w:tc>
        <w:tc>
          <w:tcPr>
            <w:tcW w:w="1480" w:type="dxa"/>
            <w:vMerge/>
            <w:tcBorders>
              <w:top w:val="single" w:sz="4" w:space="0" w:color="auto"/>
              <w:left w:val="single" w:sz="4" w:space="0" w:color="auto"/>
              <w:bottom w:val="double" w:sz="6" w:space="0" w:color="000000"/>
              <w:right w:val="double" w:sz="6" w:space="0" w:color="auto"/>
            </w:tcBorders>
            <w:vAlign w:val="center"/>
          </w:tcPr>
          <w:p w:rsidR="00DF128A" w:rsidRPr="00A80C9E" w:rsidRDefault="00DF128A" w:rsidP="00A80C9E">
            <w:pPr>
              <w:widowControl w:val="0"/>
              <w:jc w:val="center"/>
              <w:rPr>
                <w:rFonts w:cstheme="minorHAnsi"/>
                <w:sz w:val="20"/>
                <w:szCs w:val="20"/>
              </w:rPr>
            </w:pPr>
          </w:p>
        </w:tc>
        <w:tc>
          <w:tcPr>
            <w:tcW w:w="960" w:type="dxa"/>
            <w:tcBorders>
              <w:top w:val="nil"/>
              <w:left w:val="nil"/>
              <w:bottom w:val="double" w:sz="6"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[t]</w:t>
            </w:r>
          </w:p>
        </w:tc>
        <w:tc>
          <w:tcPr>
            <w:tcW w:w="960" w:type="dxa"/>
            <w:tcBorders>
              <w:top w:val="nil"/>
              <w:left w:val="nil"/>
              <w:bottom w:val="double" w:sz="6" w:space="0" w:color="auto"/>
              <w:right w:val="single" w:sz="12"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w:t>
            </w:r>
          </w:p>
        </w:tc>
        <w:tc>
          <w:tcPr>
            <w:tcW w:w="460" w:type="dxa"/>
            <w:vMerge/>
            <w:tcBorders>
              <w:top w:val="single" w:sz="4" w:space="0" w:color="auto"/>
              <w:left w:val="single" w:sz="12" w:space="0" w:color="auto"/>
              <w:bottom w:val="double" w:sz="6" w:space="0" w:color="000000"/>
              <w:right w:val="single" w:sz="4" w:space="0" w:color="auto"/>
            </w:tcBorders>
            <w:vAlign w:val="center"/>
          </w:tcPr>
          <w:p w:rsidR="00DF128A" w:rsidRPr="00A80C9E" w:rsidRDefault="00DF128A" w:rsidP="00A80C9E">
            <w:pPr>
              <w:widowControl w:val="0"/>
              <w:jc w:val="center"/>
              <w:rPr>
                <w:rFonts w:cstheme="minorHAnsi"/>
                <w:sz w:val="20"/>
                <w:szCs w:val="20"/>
              </w:rPr>
            </w:pPr>
          </w:p>
        </w:tc>
        <w:tc>
          <w:tcPr>
            <w:tcW w:w="1480" w:type="dxa"/>
            <w:vMerge/>
            <w:tcBorders>
              <w:top w:val="single" w:sz="4" w:space="0" w:color="auto"/>
              <w:left w:val="single" w:sz="4" w:space="0" w:color="auto"/>
              <w:bottom w:val="double" w:sz="6" w:space="0" w:color="000000"/>
              <w:right w:val="double" w:sz="6" w:space="0" w:color="auto"/>
            </w:tcBorders>
            <w:vAlign w:val="center"/>
          </w:tcPr>
          <w:p w:rsidR="00DF128A" w:rsidRPr="00A80C9E" w:rsidRDefault="00DF128A" w:rsidP="00A80C9E">
            <w:pPr>
              <w:widowControl w:val="0"/>
              <w:jc w:val="center"/>
              <w:rPr>
                <w:rFonts w:cstheme="minorHAnsi"/>
                <w:sz w:val="20"/>
                <w:szCs w:val="20"/>
              </w:rPr>
            </w:pPr>
          </w:p>
        </w:tc>
        <w:tc>
          <w:tcPr>
            <w:tcW w:w="960" w:type="dxa"/>
            <w:tcBorders>
              <w:top w:val="nil"/>
              <w:left w:val="nil"/>
              <w:bottom w:val="double" w:sz="6"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[t]</w:t>
            </w:r>
          </w:p>
        </w:tc>
        <w:tc>
          <w:tcPr>
            <w:tcW w:w="960" w:type="dxa"/>
            <w:tcBorders>
              <w:top w:val="nil"/>
              <w:left w:val="nil"/>
              <w:bottom w:val="double" w:sz="6"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w:t>
            </w:r>
          </w:p>
        </w:tc>
      </w:tr>
      <w:tr w:rsidR="00DF128A" w:rsidRPr="00DF128A" w:rsidTr="00DF128A">
        <w:trPr>
          <w:trHeight w:val="270"/>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 xml:space="preserve">USA </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18 918</w:t>
            </w:r>
          </w:p>
        </w:tc>
        <w:tc>
          <w:tcPr>
            <w:tcW w:w="960" w:type="dxa"/>
            <w:tcBorders>
              <w:top w:val="nil"/>
              <w:left w:val="nil"/>
              <w:bottom w:val="single" w:sz="4" w:space="0" w:color="auto"/>
              <w:right w:val="single" w:sz="12"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29,3</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12.</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Čína</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1 396</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2,2</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Francie</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10 527</w:t>
            </w:r>
          </w:p>
        </w:tc>
        <w:tc>
          <w:tcPr>
            <w:tcW w:w="960" w:type="dxa"/>
            <w:tcBorders>
              <w:top w:val="nil"/>
              <w:left w:val="nil"/>
              <w:bottom w:val="single" w:sz="4" w:space="0" w:color="auto"/>
              <w:right w:val="single" w:sz="12"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16,3</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13.</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Finsko</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1 051</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1,6</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Japonsko</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7 569</w:t>
            </w:r>
          </w:p>
        </w:tc>
        <w:tc>
          <w:tcPr>
            <w:tcW w:w="960" w:type="dxa"/>
            <w:tcBorders>
              <w:top w:val="nil"/>
              <w:left w:val="nil"/>
              <w:bottom w:val="single" w:sz="4" w:space="0" w:color="auto"/>
              <w:right w:val="single" w:sz="12"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11,7</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14.</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Belgie</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1 011</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1,6</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4.</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Rusko</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3 365</w:t>
            </w:r>
          </w:p>
        </w:tc>
        <w:tc>
          <w:tcPr>
            <w:tcW w:w="960" w:type="dxa"/>
            <w:tcBorders>
              <w:top w:val="nil"/>
              <w:left w:val="nil"/>
              <w:bottom w:val="single" w:sz="4" w:space="0" w:color="auto"/>
              <w:right w:val="single" w:sz="12"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5,2</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15.</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Indie</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978</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1,5</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5.</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Německo</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3 332</w:t>
            </w:r>
          </w:p>
        </w:tc>
        <w:tc>
          <w:tcPr>
            <w:tcW w:w="960" w:type="dxa"/>
            <w:tcBorders>
              <w:top w:val="nil"/>
              <w:left w:val="nil"/>
              <w:bottom w:val="single" w:sz="4" w:space="0" w:color="auto"/>
              <w:right w:val="single" w:sz="12"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5,2</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16.</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Taiwan</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832</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1,3</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6.</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Jižní Korea</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3 109</w:t>
            </w:r>
          </w:p>
        </w:tc>
        <w:tc>
          <w:tcPr>
            <w:tcW w:w="960" w:type="dxa"/>
            <w:tcBorders>
              <w:top w:val="nil"/>
              <w:left w:val="nil"/>
              <w:bottom w:val="single" w:sz="4" w:space="0" w:color="auto"/>
              <w:right w:val="single" w:sz="12"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4,8</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17.</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ČR</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619</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1,0</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7.</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Velká Británie</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2 199</w:t>
            </w:r>
          </w:p>
        </w:tc>
        <w:tc>
          <w:tcPr>
            <w:tcW w:w="960" w:type="dxa"/>
            <w:tcBorders>
              <w:top w:val="nil"/>
              <w:left w:val="nil"/>
              <w:bottom w:val="single" w:sz="4" w:space="0" w:color="auto"/>
              <w:right w:val="single" w:sz="12"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3,4</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18.</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Švýcarsko</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537</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0,8</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8.</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Ukrajina</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1 974</w:t>
            </w:r>
          </w:p>
        </w:tc>
        <w:tc>
          <w:tcPr>
            <w:tcW w:w="960" w:type="dxa"/>
            <w:tcBorders>
              <w:top w:val="nil"/>
              <w:left w:val="nil"/>
              <w:bottom w:val="single" w:sz="4" w:space="0" w:color="auto"/>
              <w:right w:val="single" w:sz="12"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3,1</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19.</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Slovensko</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313</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0,5</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9.</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Kanada</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1 665</w:t>
            </w:r>
          </w:p>
        </w:tc>
        <w:tc>
          <w:tcPr>
            <w:tcW w:w="960" w:type="dxa"/>
            <w:tcBorders>
              <w:top w:val="nil"/>
              <w:left w:val="nil"/>
              <w:bottom w:val="single" w:sz="4" w:space="0" w:color="auto"/>
              <w:right w:val="single" w:sz="12"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2,6</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20.</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Brazílie</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303</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0,5</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10.</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Švédsko</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1 418</w:t>
            </w:r>
          </w:p>
        </w:tc>
        <w:tc>
          <w:tcPr>
            <w:tcW w:w="960" w:type="dxa"/>
            <w:tcBorders>
              <w:top w:val="nil"/>
              <w:left w:val="nil"/>
              <w:bottom w:val="single" w:sz="4" w:space="0" w:color="auto"/>
              <w:right w:val="single" w:sz="12"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2,2</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21.</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JAR</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303</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0,5</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11.</w:t>
            </w:r>
          </w:p>
        </w:tc>
        <w:tc>
          <w:tcPr>
            <w:tcW w:w="1480" w:type="dxa"/>
            <w:tcBorders>
              <w:top w:val="nil"/>
              <w:left w:val="nil"/>
              <w:bottom w:val="single" w:sz="4" w:space="0" w:color="auto"/>
              <w:right w:val="double" w:sz="6"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Španělsko</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1 398</w:t>
            </w:r>
          </w:p>
        </w:tc>
        <w:tc>
          <w:tcPr>
            <w:tcW w:w="960" w:type="dxa"/>
            <w:tcBorders>
              <w:top w:val="nil"/>
              <w:left w:val="nil"/>
              <w:bottom w:val="single" w:sz="4" w:space="0" w:color="auto"/>
              <w:right w:val="single" w:sz="12"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2,2</w:t>
            </w:r>
          </w:p>
        </w:tc>
        <w:tc>
          <w:tcPr>
            <w:tcW w:w="1940" w:type="dxa"/>
            <w:gridSpan w:val="2"/>
            <w:tcBorders>
              <w:top w:val="single" w:sz="4" w:space="0" w:color="auto"/>
              <w:left w:val="single" w:sz="12" w:space="0" w:color="auto"/>
              <w:bottom w:val="single" w:sz="4" w:space="0" w:color="auto"/>
              <w:right w:val="double" w:sz="6" w:space="0" w:color="000000"/>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Celková spotřeba</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64 615</w:t>
            </w:r>
          </w:p>
        </w:tc>
        <w:tc>
          <w:tcPr>
            <w:tcW w:w="960" w:type="dxa"/>
            <w:tcBorders>
              <w:top w:val="nil"/>
              <w:left w:val="nil"/>
              <w:bottom w:val="single" w:sz="4" w:space="0" w:color="auto"/>
              <w:right w:val="single" w:sz="4" w:space="0" w:color="auto"/>
            </w:tcBorders>
            <w:shd w:val="clear" w:color="auto" w:fill="auto"/>
            <w:noWrap/>
            <w:vAlign w:val="bottom"/>
          </w:tcPr>
          <w:p w:rsidR="00DF128A" w:rsidRPr="00A80C9E" w:rsidRDefault="00DF128A" w:rsidP="00A80C9E">
            <w:pPr>
              <w:widowControl w:val="0"/>
              <w:jc w:val="center"/>
              <w:rPr>
                <w:rFonts w:cstheme="minorHAnsi"/>
                <w:sz w:val="20"/>
                <w:szCs w:val="20"/>
              </w:rPr>
            </w:pPr>
            <w:r w:rsidRPr="00A80C9E">
              <w:rPr>
                <w:rFonts w:cstheme="minorHAnsi"/>
                <w:sz w:val="20"/>
                <w:szCs w:val="20"/>
              </w:rPr>
              <w:t>100,0</w:t>
            </w:r>
          </w:p>
        </w:tc>
      </w:tr>
    </w:tbl>
    <w:p w:rsidR="00DF128A" w:rsidRPr="00A80C9E" w:rsidRDefault="004F069E" w:rsidP="00A80C9E">
      <w:pPr>
        <w:widowControl w:val="0"/>
        <w:spacing w:line="276" w:lineRule="auto"/>
        <w:jc w:val="both"/>
        <w:rPr>
          <w:rFonts w:ascii="Times New Roman" w:hAnsi="Times New Roman" w:cs="Times New Roman"/>
          <w:i/>
          <w:sz w:val="20"/>
          <w:szCs w:val="20"/>
        </w:rPr>
      </w:pPr>
      <w:r>
        <w:rPr>
          <w:rFonts w:ascii="Times New Roman" w:hAnsi="Times New Roman" w:cs="Times New Roman"/>
          <w:i/>
          <w:sz w:val="20"/>
          <w:szCs w:val="20"/>
        </w:rPr>
        <w:t>Zdroj</w:t>
      </w:r>
      <w:r w:rsidR="00DF128A" w:rsidRPr="00A80C9E">
        <w:rPr>
          <w:rFonts w:ascii="Times New Roman" w:hAnsi="Times New Roman" w:cs="Times New Roman"/>
          <w:i/>
          <w:sz w:val="20"/>
          <w:szCs w:val="20"/>
        </w:rPr>
        <w:t xml:space="preserve">: World Nuclear Power Reactors 2006-08 and Uranium Requirements 2008, Uranium Information Centre, 2008 </w:t>
      </w:r>
    </w:p>
    <w:p w:rsidR="00A80C9E" w:rsidRDefault="00A80C9E" w:rsidP="00A80C9E">
      <w:pPr>
        <w:widowControl w:val="0"/>
        <w:spacing w:line="276" w:lineRule="auto"/>
        <w:jc w:val="both"/>
        <w:rPr>
          <w:rFonts w:ascii="Times New Roman" w:hAnsi="Times New Roman" w:cs="Times New Roman"/>
          <w:sz w:val="24"/>
          <w:szCs w:val="24"/>
        </w:rPr>
      </w:pPr>
    </w:p>
    <w:p w:rsidR="00DF128A" w:rsidRPr="00675D0F" w:rsidRDefault="00DF128A" w:rsidP="00A80C9E">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 xml:space="preserve">Tab. 4: Státy s největším výkonem [MWe] a počtem fungujících reaktorů v roce 2008 </w:t>
      </w:r>
    </w:p>
    <w:tbl>
      <w:tblPr>
        <w:tblW w:w="7720" w:type="dxa"/>
        <w:tblInd w:w="55" w:type="dxa"/>
        <w:tblLayout w:type="fixed"/>
        <w:tblCellMar>
          <w:left w:w="70" w:type="dxa"/>
          <w:right w:w="70" w:type="dxa"/>
        </w:tblCellMar>
        <w:tblLook w:val="0000" w:firstRow="0" w:lastRow="0" w:firstColumn="0" w:lastColumn="0" w:noHBand="0" w:noVBand="0"/>
      </w:tblPr>
      <w:tblGrid>
        <w:gridCol w:w="460"/>
        <w:gridCol w:w="1480"/>
        <w:gridCol w:w="960"/>
        <w:gridCol w:w="960"/>
        <w:gridCol w:w="460"/>
        <w:gridCol w:w="1480"/>
        <w:gridCol w:w="960"/>
        <w:gridCol w:w="960"/>
      </w:tblGrid>
      <w:tr w:rsidR="00DF128A" w:rsidRPr="00DF128A" w:rsidTr="00DF128A">
        <w:trPr>
          <w:trHeight w:val="255"/>
        </w:trPr>
        <w:tc>
          <w:tcPr>
            <w:tcW w:w="460" w:type="dxa"/>
            <w:vMerge w:val="restart"/>
            <w:tcBorders>
              <w:top w:val="single" w:sz="4" w:space="0" w:color="auto"/>
              <w:left w:val="single" w:sz="4" w:space="0" w:color="auto"/>
              <w:bottom w:val="double" w:sz="6" w:space="0" w:color="000000"/>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 </w:t>
            </w:r>
          </w:p>
        </w:tc>
        <w:tc>
          <w:tcPr>
            <w:tcW w:w="1480" w:type="dxa"/>
            <w:vMerge w:val="restart"/>
            <w:tcBorders>
              <w:top w:val="single" w:sz="4" w:space="0" w:color="auto"/>
              <w:left w:val="single" w:sz="4" w:space="0" w:color="auto"/>
              <w:bottom w:val="double" w:sz="6" w:space="0" w:color="000000"/>
              <w:right w:val="double" w:sz="6" w:space="0" w:color="auto"/>
            </w:tcBorders>
            <w:shd w:val="clear" w:color="auto" w:fill="auto"/>
            <w:noWrap/>
            <w:vAlign w:val="center"/>
          </w:tcPr>
          <w:p w:rsidR="00DF128A" w:rsidRPr="00622CAB" w:rsidRDefault="00DF128A" w:rsidP="00622CAB">
            <w:pPr>
              <w:widowControl w:val="0"/>
              <w:jc w:val="center"/>
              <w:rPr>
                <w:rFonts w:cstheme="minorHAnsi"/>
                <w:b/>
                <w:bCs/>
                <w:sz w:val="20"/>
                <w:szCs w:val="20"/>
              </w:rPr>
            </w:pPr>
            <w:r w:rsidRPr="00622CAB">
              <w:rPr>
                <w:rFonts w:cstheme="minorHAnsi"/>
                <w:b/>
                <w:bCs/>
                <w:sz w:val="20"/>
                <w:szCs w:val="20"/>
              </w:rPr>
              <w:t>Stát</w:t>
            </w:r>
          </w:p>
        </w:tc>
        <w:tc>
          <w:tcPr>
            <w:tcW w:w="1920" w:type="dxa"/>
            <w:gridSpan w:val="2"/>
            <w:tcBorders>
              <w:top w:val="single" w:sz="4" w:space="0" w:color="auto"/>
              <w:left w:val="nil"/>
              <w:bottom w:val="single" w:sz="4" w:space="0" w:color="auto"/>
              <w:right w:val="single" w:sz="12" w:space="0" w:color="auto"/>
            </w:tcBorders>
            <w:shd w:val="clear" w:color="auto" w:fill="auto"/>
            <w:noWrap/>
            <w:vAlign w:val="bottom"/>
          </w:tcPr>
          <w:p w:rsidR="00DF128A" w:rsidRPr="00622CAB" w:rsidRDefault="00DF128A" w:rsidP="00622CAB">
            <w:pPr>
              <w:widowControl w:val="0"/>
              <w:jc w:val="center"/>
              <w:rPr>
                <w:rFonts w:cstheme="minorHAnsi"/>
                <w:b/>
                <w:bCs/>
                <w:sz w:val="20"/>
                <w:szCs w:val="20"/>
              </w:rPr>
            </w:pPr>
            <w:r w:rsidRPr="00622CAB">
              <w:rPr>
                <w:rFonts w:cstheme="minorHAnsi"/>
                <w:b/>
                <w:bCs/>
                <w:sz w:val="20"/>
                <w:szCs w:val="20"/>
              </w:rPr>
              <w:t>Fungující reaktory</w:t>
            </w:r>
          </w:p>
        </w:tc>
        <w:tc>
          <w:tcPr>
            <w:tcW w:w="460" w:type="dxa"/>
            <w:vMerge w:val="restart"/>
            <w:tcBorders>
              <w:top w:val="single" w:sz="4" w:space="0" w:color="auto"/>
              <w:left w:val="single" w:sz="12" w:space="0" w:color="auto"/>
              <w:bottom w:val="double" w:sz="6" w:space="0" w:color="000000"/>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 </w:t>
            </w:r>
          </w:p>
        </w:tc>
        <w:tc>
          <w:tcPr>
            <w:tcW w:w="1480" w:type="dxa"/>
            <w:vMerge w:val="restart"/>
            <w:tcBorders>
              <w:top w:val="single" w:sz="4" w:space="0" w:color="auto"/>
              <w:left w:val="single" w:sz="4" w:space="0" w:color="auto"/>
              <w:bottom w:val="double" w:sz="6" w:space="0" w:color="000000"/>
              <w:right w:val="double" w:sz="6" w:space="0" w:color="auto"/>
            </w:tcBorders>
            <w:shd w:val="clear" w:color="auto" w:fill="auto"/>
            <w:noWrap/>
            <w:vAlign w:val="center"/>
          </w:tcPr>
          <w:p w:rsidR="00DF128A" w:rsidRPr="00622CAB" w:rsidRDefault="00DF128A" w:rsidP="00622CAB">
            <w:pPr>
              <w:widowControl w:val="0"/>
              <w:jc w:val="center"/>
              <w:rPr>
                <w:rFonts w:cstheme="minorHAnsi"/>
                <w:b/>
                <w:bCs/>
                <w:sz w:val="20"/>
                <w:szCs w:val="20"/>
              </w:rPr>
            </w:pPr>
            <w:r w:rsidRPr="00622CAB">
              <w:rPr>
                <w:rFonts w:cstheme="minorHAnsi"/>
                <w:b/>
                <w:bCs/>
                <w:sz w:val="20"/>
                <w:szCs w:val="20"/>
              </w:rPr>
              <w:t>Stát</w:t>
            </w:r>
          </w:p>
        </w:tc>
        <w:tc>
          <w:tcPr>
            <w:tcW w:w="1920" w:type="dxa"/>
            <w:gridSpan w:val="2"/>
            <w:tcBorders>
              <w:top w:val="single" w:sz="4" w:space="0" w:color="auto"/>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b/>
                <w:bCs/>
                <w:sz w:val="20"/>
                <w:szCs w:val="20"/>
              </w:rPr>
            </w:pPr>
            <w:r w:rsidRPr="00622CAB">
              <w:rPr>
                <w:rFonts w:cstheme="minorHAnsi"/>
                <w:b/>
                <w:bCs/>
                <w:sz w:val="20"/>
                <w:szCs w:val="20"/>
              </w:rPr>
              <w:t>Fungující reaktory</w:t>
            </w:r>
          </w:p>
        </w:tc>
      </w:tr>
      <w:tr w:rsidR="00DF128A" w:rsidRPr="00DF128A" w:rsidTr="00DF128A">
        <w:trPr>
          <w:trHeight w:val="270"/>
        </w:trPr>
        <w:tc>
          <w:tcPr>
            <w:tcW w:w="460" w:type="dxa"/>
            <w:vMerge/>
            <w:tcBorders>
              <w:top w:val="single" w:sz="4" w:space="0" w:color="auto"/>
              <w:left w:val="single" w:sz="4" w:space="0" w:color="auto"/>
              <w:bottom w:val="double" w:sz="6" w:space="0" w:color="000000"/>
              <w:right w:val="single" w:sz="4" w:space="0" w:color="auto"/>
            </w:tcBorders>
            <w:vAlign w:val="center"/>
          </w:tcPr>
          <w:p w:rsidR="00DF128A" w:rsidRPr="00622CAB" w:rsidRDefault="00DF128A" w:rsidP="00622CAB">
            <w:pPr>
              <w:widowControl w:val="0"/>
              <w:jc w:val="center"/>
              <w:rPr>
                <w:rFonts w:cstheme="minorHAnsi"/>
                <w:sz w:val="20"/>
                <w:szCs w:val="20"/>
              </w:rPr>
            </w:pPr>
          </w:p>
        </w:tc>
        <w:tc>
          <w:tcPr>
            <w:tcW w:w="1480" w:type="dxa"/>
            <w:vMerge/>
            <w:tcBorders>
              <w:top w:val="single" w:sz="4" w:space="0" w:color="auto"/>
              <w:left w:val="single" w:sz="4" w:space="0" w:color="auto"/>
              <w:bottom w:val="double" w:sz="6" w:space="0" w:color="000000"/>
              <w:right w:val="double" w:sz="6" w:space="0" w:color="auto"/>
            </w:tcBorders>
            <w:vAlign w:val="center"/>
          </w:tcPr>
          <w:p w:rsidR="00DF128A" w:rsidRPr="00622CAB" w:rsidRDefault="00DF128A" w:rsidP="00622CAB">
            <w:pPr>
              <w:widowControl w:val="0"/>
              <w:jc w:val="center"/>
              <w:rPr>
                <w:rFonts w:cstheme="minorHAnsi"/>
                <w:b/>
                <w:bCs/>
                <w:sz w:val="20"/>
                <w:szCs w:val="20"/>
              </w:rPr>
            </w:pPr>
          </w:p>
        </w:tc>
        <w:tc>
          <w:tcPr>
            <w:tcW w:w="960" w:type="dxa"/>
            <w:tcBorders>
              <w:top w:val="nil"/>
              <w:left w:val="nil"/>
              <w:bottom w:val="double" w:sz="6"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počet</w:t>
            </w:r>
          </w:p>
        </w:tc>
        <w:tc>
          <w:tcPr>
            <w:tcW w:w="960" w:type="dxa"/>
            <w:tcBorders>
              <w:top w:val="nil"/>
              <w:left w:val="nil"/>
              <w:bottom w:val="double" w:sz="6" w:space="0" w:color="auto"/>
              <w:right w:val="single" w:sz="12"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výkon</w:t>
            </w:r>
          </w:p>
        </w:tc>
        <w:tc>
          <w:tcPr>
            <w:tcW w:w="460" w:type="dxa"/>
            <w:vMerge/>
            <w:tcBorders>
              <w:top w:val="single" w:sz="4" w:space="0" w:color="auto"/>
              <w:left w:val="single" w:sz="12" w:space="0" w:color="auto"/>
              <w:bottom w:val="double" w:sz="6" w:space="0" w:color="000000"/>
              <w:right w:val="single" w:sz="4" w:space="0" w:color="auto"/>
            </w:tcBorders>
            <w:vAlign w:val="center"/>
          </w:tcPr>
          <w:p w:rsidR="00DF128A" w:rsidRPr="00622CAB" w:rsidRDefault="00DF128A" w:rsidP="00622CAB">
            <w:pPr>
              <w:widowControl w:val="0"/>
              <w:jc w:val="center"/>
              <w:rPr>
                <w:rFonts w:cstheme="minorHAnsi"/>
                <w:sz w:val="20"/>
                <w:szCs w:val="20"/>
              </w:rPr>
            </w:pPr>
          </w:p>
        </w:tc>
        <w:tc>
          <w:tcPr>
            <w:tcW w:w="1480" w:type="dxa"/>
            <w:vMerge/>
            <w:tcBorders>
              <w:top w:val="single" w:sz="4" w:space="0" w:color="auto"/>
              <w:left w:val="single" w:sz="4" w:space="0" w:color="auto"/>
              <w:bottom w:val="double" w:sz="6" w:space="0" w:color="000000"/>
              <w:right w:val="double" w:sz="6" w:space="0" w:color="auto"/>
            </w:tcBorders>
            <w:vAlign w:val="center"/>
          </w:tcPr>
          <w:p w:rsidR="00DF128A" w:rsidRPr="00622CAB" w:rsidRDefault="00DF128A" w:rsidP="00622CAB">
            <w:pPr>
              <w:widowControl w:val="0"/>
              <w:jc w:val="center"/>
              <w:rPr>
                <w:rFonts w:cstheme="minorHAnsi"/>
                <w:b/>
                <w:bCs/>
                <w:sz w:val="20"/>
                <w:szCs w:val="20"/>
              </w:rPr>
            </w:pPr>
          </w:p>
        </w:tc>
        <w:tc>
          <w:tcPr>
            <w:tcW w:w="960" w:type="dxa"/>
            <w:tcBorders>
              <w:top w:val="nil"/>
              <w:left w:val="nil"/>
              <w:bottom w:val="double" w:sz="6"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počet</w:t>
            </w:r>
          </w:p>
        </w:tc>
        <w:tc>
          <w:tcPr>
            <w:tcW w:w="960" w:type="dxa"/>
            <w:tcBorders>
              <w:top w:val="nil"/>
              <w:left w:val="nil"/>
              <w:bottom w:val="double" w:sz="6"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výkon</w:t>
            </w:r>
          </w:p>
        </w:tc>
      </w:tr>
      <w:tr w:rsidR="00DF128A" w:rsidRPr="00DF128A" w:rsidTr="00DF128A">
        <w:trPr>
          <w:trHeight w:val="270"/>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 xml:space="preserve">USA </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104</w:t>
            </w:r>
          </w:p>
        </w:tc>
        <w:tc>
          <w:tcPr>
            <w:tcW w:w="960" w:type="dxa"/>
            <w:tcBorders>
              <w:top w:val="nil"/>
              <w:left w:val="nil"/>
              <w:bottom w:val="single" w:sz="4" w:space="0" w:color="auto"/>
              <w:right w:val="single" w:sz="12"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99 049</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12.</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Španělsko</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8</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7 442</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2.</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Francie</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59</w:t>
            </w:r>
          </w:p>
        </w:tc>
        <w:tc>
          <w:tcPr>
            <w:tcW w:w="960" w:type="dxa"/>
            <w:tcBorders>
              <w:top w:val="nil"/>
              <w:left w:val="nil"/>
              <w:bottom w:val="single" w:sz="4" w:space="0" w:color="auto"/>
              <w:right w:val="single" w:sz="12"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63 473</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13.</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Belgie</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7</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5 728</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3.</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Japansko</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55</w:t>
            </w:r>
          </w:p>
        </w:tc>
        <w:tc>
          <w:tcPr>
            <w:tcW w:w="960" w:type="dxa"/>
            <w:tcBorders>
              <w:top w:val="nil"/>
              <w:left w:val="nil"/>
              <w:bottom w:val="single" w:sz="4" w:space="0" w:color="auto"/>
              <w:right w:val="single" w:sz="12"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47 577</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14.</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Taiwan</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6</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4 884</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4.</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Rusko</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31</w:t>
            </w:r>
          </w:p>
        </w:tc>
        <w:tc>
          <w:tcPr>
            <w:tcW w:w="960" w:type="dxa"/>
            <w:tcBorders>
              <w:top w:val="nil"/>
              <w:left w:val="nil"/>
              <w:bottom w:val="single" w:sz="4" w:space="0" w:color="auto"/>
              <w:right w:val="single" w:sz="12"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21 743</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15.</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Indie</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17</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3 779</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5.</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Německo</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17</w:t>
            </w:r>
          </w:p>
        </w:tc>
        <w:tc>
          <w:tcPr>
            <w:tcW w:w="960" w:type="dxa"/>
            <w:tcBorders>
              <w:top w:val="nil"/>
              <w:left w:val="nil"/>
              <w:bottom w:val="single" w:sz="4" w:space="0" w:color="auto"/>
              <w:right w:val="single" w:sz="12"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20 339</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b/>
                <w:bCs/>
                <w:sz w:val="20"/>
                <w:szCs w:val="20"/>
              </w:rPr>
            </w:pPr>
            <w:r w:rsidRPr="00622CAB">
              <w:rPr>
                <w:rFonts w:cstheme="minorHAnsi"/>
                <w:b/>
                <w:bCs/>
                <w:sz w:val="20"/>
                <w:szCs w:val="20"/>
              </w:rPr>
              <w:t>16.</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b/>
                <w:bCs/>
                <w:sz w:val="20"/>
                <w:szCs w:val="20"/>
              </w:rPr>
            </w:pPr>
            <w:r w:rsidRPr="00622CAB">
              <w:rPr>
                <w:rFonts w:cstheme="minorHAnsi"/>
                <w:b/>
                <w:bCs/>
                <w:sz w:val="20"/>
                <w:szCs w:val="20"/>
              </w:rPr>
              <w:t>ČR</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b/>
                <w:bCs/>
                <w:sz w:val="20"/>
                <w:szCs w:val="20"/>
              </w:rPr>
            </w:pPr>
            <w:r w:rsidRPr="00622CAB">
              <w:rPr>
                <w:rFonts w:cstheme="minorHAnsi"/>
                <w:b/>
                <w:bCs/>
                <w:sz w:val="20"/>
                <w:szCs w:val="20"/>
              </w:rPr>
              <w:t>6</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b/>
                <w:bCs/>
                <w:sz w:val="20"/>
                <w:szCs w:val="20"/>
              </w:rPr>
            </w:pPr>
            <w:r w:rsidRPr="00622CAB">
              <w:rPr>
                <w:rFonts w:cstheme="minorHAnsi"/>
                <w:b/>
                <w:bCs/>
                <w:sz w:val="20"/>
                <w:szCs w:val="20"/>
              </w:rPr>
              <w:t>3 472</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6.</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Jižní Korea</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20</w:t>
            </w:r>
          </w:p>
        </w:tc>
        <w:tc>
          <w:tcPr>
            <w:tcW w:w="960" w:type="dxa"/>
            <w:tcBorders>
              <w:top w:val="nil"/>
              <w:left w:val="nil"/>
              <w:bottom w:val="single" w:sz="4" w:space="0" w:color="auto"/>
              <w:right w:val="single" w:sz="12"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17 533</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17.</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Švýcarsko</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5</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3 220</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7.</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Ukrajina</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15</w:t>
            </w:r>
          </w:p>
        </w:tc>
        <w:tc>
          <w:tcPr>
            <w:tcW w:w="960" w:type="dxa"/>
            <w:tcBorders>
              <w:top w:val="nil"/>
              <w:left w:val="nil"/>
              <w:bottom w:val="single" w:sz="4" w:space="0" w:color="auto"/>
              <w:right w:val="single" w:sz="12"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13 168</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18.</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Finsko</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4</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2 696</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8.</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Kanada</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18</w:t>
            </w:r>
          </w:p>
        </w:tc>
        <w:tc>
          <w:tcPr>
            <w:tcW w:w="960" w:type="dxa"/>
            <w:tcBorders>
              <w:top w:val="nil"/>
              <w:left w:val="nil"/>
              <w:bottom w:val="single" w:sz="4" w:space="0" w:color="auto"/>
              <w:right w:val="single" w:sz="12"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12 652</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19.</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Slovensko</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5</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2 064</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9.</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Velká Británie</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19</w:t>
            </w:r>
          </w:p>
        </w:tc>
        <w:tc>
          <w:tcPr>
            <w:tcW w:w="960" w:type="dxa"/>
            <w:tcBorders>
              <w:top w:val="nil"/>
              <w:left w:val="nil"/>
              <w:bottom w:val="single" w:sz="4" w:space="0" w:color="auto"/>
              <w:right w:val="single" w:sz="12"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11 035</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20.</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Bulharsko</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2</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1 906</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10.</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Švédsko</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10</w:t>
            </w:r>
          </w:p>
        </w:tc>
        <w:tc>
          <w:tcPr>
            <w:tcW w:w="960" w:type="dxa"/>
            <w:tcBorders>
              <w:top w:val="nil"/>
              <w:left w:val="nil"/>
              <w:bottom w:val="single" w:sz="4" w:space="0" w:color="auto"/>
              <w:right w:val="single" w:sz="12"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9 086</w:t>
            </w:r>
          </w:p>
        </w:tc>
        <w:tc>
          <w:tcPr>
            <w:tcW w:w="460" w:type="dxa"/>
            <w:tcBorders>
              <w:top w:val="nil"/>
              <w:left w:val="single" w:sz="12"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21.</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Brazílie</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2</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1 901</w:t>
            </w:r>
          </w:p>
        </w:tc>
      </w:tr>
      <w:tr w:rsidR="00DF128A" w:rsidRPr="00DF128A" w:rsidTr="00DF128A">
        <w:trPr>
          <w:trHeight w:val="2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11.</w:t>
            </w:r>
          </w:p>
        </w:tc>
        <w:tc>
          <w:tcPr>
            <w:tcW w:w="1480" w:type="dxa"/>
            <w:tcBorders>
              <w:top w:val="nil"/>
              <w:left w:val="nil"/>
              <w:bottom w:val="single" w:sz="4" w:space="0" w:color="auto"/>
              <w:right w:val="double" w:sz="6"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Čína</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11</w:t>
            </w:r>
          </w:p>
        </w:tc>
        <w:tc>
          <w:tcPr>
            <w:tcW w:w="960" w:type="dxa"/>
            <w:tcBorders>
              <w:top w:val="nil"/>
              <w:left w:val="nil"/>
              <w:bottom w:val="single" w:sz="4" w:space="0" w:color="auto"/>
              <w:right w:val="single" w:sz="12" w:space="0" w:color="auto"/>
            </w:tcBorders>
            <w:shd w:val="clear" w:color="auto" w:fill="auto"/>
            <w:noWrap/>
            <w:vAlign w:val="bottom"/>
          </w:tcPr>
          <w:p w:rsidR="00DF128A" w:rsidRPr="00622CAB" w:rsidRDefault="00DF128A" w:rsidP="00622CAB">
            <w:pPr>
              <w:widowControl w:val="0"/>
              <w:jc w:val="center"/>
              <w:rPr>
                <w:rFonts w:cstheme="minorHAnsi"/>
                <w:sz w:val="20"/>
                <w:szCs w:val="20"/>
              </w:rPr>
            </w:pPr>
            <w:r w:rsidRPr="00622CAB">
              <w:rPr>
                <w:rFonts w:cstheme="minorHAnsi"/>
                <w:sz w:val="20"/>
                <w:szCs w:val="20"/>
              </w:rPr>
              <w:t>8 587</w:t>
            </w:r>
          </w:p>
        </w:tc>
        <w:tc>
          <w:tcPr>
            <w:tcW w:w="1940" w:type="dxa"/>
            <w:gridSpan w:val="2"/>
            <w:tcBorders>
              <w:top w:val="single" w:sz="4" w:space="0" w:color="auto"/>
              <w:left w:val="single" w:sz="12" w:space="0" w:color="auto"/>
              <w:bottom w:val="single" w:sz="4" w:space="0" w:color="auto"/>
              <w:right w:val="double" w:sz="6" w:space="0" w:color="000000"/>
            </w:tcBorders>
            <w:shd w:val="clear" w:color="auto" w:fill="auto"/>
            <w:noWrap/>
            <w:vAlign w:val="bottom"/>
          </w:tcPr>
          <w:p w:rsidR="00DF128A" w:rsidRPr="00622CAB" w:rsidRDefault="00DF128A" w:rsidP="00622CAB">
            <w:pPr>
              <w:widowControl w:val="0"/>
              <w:jc w:val="center"/>
              <w:rPr>
                <w:rFonts w:cstheme="minorHAnsi"/>
                <w:b/>
                <w:bCs/>
                <w:sz w:val="20"/>
                <w:szCs w:val="20"/>
              </w:rPr>
            </w:pPr>
            <w:r w:rsidRPr="00622CAB">
              <w:rPr>
                <w:rFonts w:cstheme="minorHAnsi"/>
                <w:b/>
                <w:bCs/>
                <w:sz w:val="20"/>
                <w:szCs w:val="20"/>
              </w:rPr>
              <w:t>Svět</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b/>
                <w:bCs/>
                <w:sz w:val="20"/>
                <w:szCs w:val="20"/>
              </w:rPr>
            </w:pPr>
            <w:r w:rsidRPr="00622CAB">
              <w:rPr>
                <w:rFonts w:cstheme="minorHAnsi"/>
                <w:b/>
                <w:bCs/>
                <w:sz w:val="20"/>
                <w:szCs w:val="20"/>
              </w:rPr>
              <w:t>439</w:t>
            </w:r>
          </w:p>
        </w:tc>
        <w:tc>
          <w:tcPr>
            <w:tcW w:w="960" w:type="dxa"/>
            <w:tcBorders>
              <w:top w:val="nil"/>
              <w:left w:val="nil"/>
              <w:bottom w:val="single" w:sz="4" w:space="0" w:color="auto"/>
              <w:right w:val="single" w:sz="4" w:space="0" w:color="auto"/>
            </w:tcBorders>
            <w:shd w:val="clear" w:color="auto" w:fill="auto"/>
            <w:noWrap/>
            <w:vAlign w:val="bottom"/>
          </w:tcPr>
          <w:p w:rsidR="00DF128A" w:rsidRPr="00622CAB" w:rsidRDefault="00DF128A" w:rsidP="00622CAB">
            <w:pPr>
              <w:widowControl w:val="0"/>
              <w:jc w:val="center"/>
              <w:rPr>
                <w:rFonts w:cstheme="minorHAnsi"/>
                <w:b/>
                <w:bCs/>
                <w:sz w:val="20"/>
                <w:szCs w:val="20"/>
              </w:rPr>
            </w:pPr>
            <w:r w:rsidRPr="00622CAB">
              <w:rPr>
                <w:rFonts w:cstheme="minorHAnsi"/>
                <w:b/>
                <w:bCs/>
                <w:sz w:val="20"/>
                <w:szCs w:val="20"/>
              </w:rPr>
              <w:t>372 059</w:t>
            </w:r>
          </w:p>
        </w:tc>
      </w:tr>
    </w:tbl>
    <w:p w:rsidR="00DF128A" w:rsidRPr="00622CAB" w:rsidRDefault="004F069E" w:rsidP="00622CAB">
      <w:pPr>
        <w:widowControl w:val="0"/>
        <w:spacing w:line="276" w:lineRule="auto"/>
        <w:jc w:val="both"/>
        <w:rPr>
          <w:rFonts w:ascii="Times New Roman" w:hAnsi="Times New Roman" w:cs="Times New Roman"/>
          <w:i/>
          <w:sz w:val="20"/>
          <w:szCs w:val="20"/>
        </w:rPr>
      </w:pPr>
      <w:r>
        <w:rPr>
          <w:rFonts w:ascii="Times New Roman" w:hAnsi="Times New Roman" w:cs="Times New Roman"/>
          <w:i/>
          <w:sz w:val="20"/>
          <w:szCs w:val="20"/>
        </w:rPr>
        <w:t>Zdroj</w:t>
      </w:r>
      <w:r w:rsidR="00DF128A" w:rsidRPr="00622CAB">
        <w:rPr>
          <w:rFonts w:ascii="Times New Roman" w:hAnsi="Times New Roman" w:cs="Times New Roman"/>
          <w:i/>
          <w:sz w:val="20"/>
          <w:szCs w:val="20"/>
        </w:rPr>
        <w:t xml:space="preserve">: World Nuclear Power Reactors 2006-08 and Uranium Requirements 2008, Uranium Information Centre, 2008 </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r w:rsidRPr="00DF128A">
        <w:rPr>
          <w:rFonts w:ascii="Times New Roman" w:hAnsi="Times New Roman" w:cs="Times New Roman"/>
          <w:b/>
          <w:sz w:val="24"/>
          <w:szCs w:val="24"/>
        </w:rPr>
        <w:t xml:space="preserve">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Jelikož je obchod s uranem velmi pozorně sledován, existuje již dnes tabulka předpokládané spotřeby na rok 2008. Největšími spotřebiteli jsou USA (29,3 %), Francie (16,3 %) a Japonsko (11,7 %). USA sice těží ročně stále více uranu (v roce 2006 to bylo 1 672 tun), ale rozhodně to nestačí na očekávanou spotřebu 18 918 tun. USA se tak stávají největším importérem uranu na světě. Velmi podobně jsou na tom i Francie a Japonsko. Francie má mizivou roční těžbu 5 tun, ale spotřebu 10 527 tun. Japonsko dokonce ani mezi 18 největšími těžaři nefiguruje, zato poptává přes 7 500 tun uranu.</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Dalšími velkými světovými dovozci uranu jsou především Jižní Korea (okolo 3000 tun) a mnohé evropské státy – Německo (cca 3 000 tun), Velká Británie (cca 2 000 tun), Švédsko, Španělsko, Ukrajina, Belgie a Finsko. Mezi státy, ve kterých spotřeba roste rychleji </w:t>
      </w:r>
      <w:r w:rsidRPr="00DF128A">
        <w:rPr>
          <w:rFonts w:ascii="Times New Roman" w:hAnsi="Times New Roman" w:cs="Times New Roman"/>
          <w:sz w:val="24"/>
          <w:szCs w:val="24"/>
        </w:rPr>
        <w:lastRenderedPageBreak/>
        <w:t xml:space="preserve">než těžba a do budoucna se předpokládá další zvětšování tohoto rozdílu, patří Čína a Indie.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Naopak světová jednička v těžbě – Kanada (v roce 2006 to bylo 9 862 tun), je kvůli malé předpokládané spotřebě 1 665 tun nejen až devátým největším spotřebitelem, ale zároveň i největším světovým exportérem uranu. Austrálie, druhá země v objemu těžby, zatím nemá žádnou jadernou elektrárnu, a proto vše vyváží. V roce 2006 tak byla se 7 593 tun druhým největším vývozcem na světě. Austrálie exportuje především do USA, Japonska, Jižní Koreje, Taiwanu a EU (Španělska, Francie, Velké Británie, Švédska, Německa, Belgie a Finska).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Mezi důležité exportéry uranu patří státy, jež nemají jaderné elektrárny – Kazachstán (jediný jaderný reaktor Ševčenko byl odstaven), Niger, Namibie a Uzbekistán. Vyrovnanou produkci a spotřebu má Rusko.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Největší část vytěženého uranu se použije jako palivo v jaderných reaktorech, což dokazuje pořadí zemí s největším výkonem jaderných elektráren. Je totiž téměř totožné s pořadím zemí podle spotřeby uranu. Případné rozdíly jsou nejčastěji do 4 míst. Počet fungujících reaktorů už pro srovnání není vhodný, protože v různých státech mohou mít jiný výkon. To nejlépe ukazuje případ Indie. Se 17 reaktory by jí náležela pozice v první šestce, ale podle výkonu je až patnáctá.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Česká republika se řadí také mezi mírné dovozce, i když větší část spotřeby pokryje z vlastních zdrojů. Spotřeba bude nejspíš v roce 2008 činit 619 tun, tedy více než 359 tun z tuzemské těžby. ČR tak je sedmnáctým největším spotřebitelem a s 6 fungujícími reaktory a výkonem 3 472 MWe má šestnáctý největší výkon.</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622CAB">
      <w:pPr>
        <w:widowControl w:val="0"/>
        <w:spacing w:line="276" w:lineRule="auto"/>
        <w:jc w:val="both"/>
        <w:rPr>
          <w:rFonts w:ascii="Times New Roman" w:hAnsi="Times New Roman" w:cs="Times New Roman"/>
          <w:sz w:val="24"/>
          <w:szCs w:val="24"/>
        </w:rPr>
      </w:pPr>
      <w:r w:rsidRPr="00DF128A">
        <w:rPr>
          <w:rFonts w:ascii="Times New Roman" w:hAnsi="Times New Roman" w:cs="Times New Roman"/>
          <w:noProof/>
          <w:sz w:val="24"/>
          <w:szCs w:val="24"/>
          <w:lang w:eastAsia="cs-CZ"/>
        </w:rPr>
        <w:drawing>
          <wp:inline distT="0" distB="0" distL="0" distR="0" wp14:anchorId="1FF09937" wp14:editId="6C328CBF">
            <wp:extent cx="3810000" cy="2886075"/>
            <wp:effectExtent l="19050" t="19050" r="19050" b="28575"/>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10000" cy="2886075"/>
                    </a:xfrm>
                    <a:prstGeom prst="rect">
                      <a:avLst/>
                    </a:prstGeom>
                    <a:noFill/>
                    <a:ln w="6350" cmpd="sng">
                      <a:solidFill>
                        <a:srgbClr val="000000"/>
                      </a:solidFill>
                      <a:miter lim="800000"/>
                      <a:headEnd/>
                      <a:tailEnd/>
                    </a:ln>
                    <a:effectLst/>
                  </pic:spPr>
                </pic:pic>
              </a:graphicData>
            </a:graphic>
          </wp:inline>
        </w:drawing>
      </w:r>
      <w:r w:rsidRPr="00DF128A">
        <w:rPr>
          <w:rFonts w:ascii="Times New Roman" w:hAnsi="Times New Roman" w:cs="Times New Roman"/>
          <w:sz w:val="24"/>
          <w:szCs w:val="24"/>
        </w:rPr>
        <w:t xml:space="preserve"> </w:t>
      </w:r>
    </w:p>
    <w:p w:rsidR="00DF128A" w:rsidRPr="00DF128A" w:rsidRDefault="00DF128A" w:rsidP="00622CAB">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Obr. 2: Státy s největšími zásobami uranu a fungující jaderné reaktory v roce 2007</w:t>
      </w:r>
    </w:p>
    <w:p w:rsidR="00DF128A" w:rsidRPr="00622CAB" w:rsidRDefault="004F069E" w:rsidP="00622CAB">
      <w:pPr>
        <w:widowControl w:val="0"/>
        <w:spacing w:line="276" w:lineRule="auto"/>
        <w:jc w:val="both"/>
        <w:rPr>
          <w:rFonts w:ascii="Times New Roman" w:hAnsi="Times New Roman" w:cs="Times New Roman"/>
          <w:i/>
          <w:sz w:val="20"/>
          <w:szCs w:val="20"/>
        </w:rPr>
      </w:pPr>
      <w:r>
        <w:rPr>
          <w:rFonts w:ascii="Times New Roman" w:hAnsi="Times New Roman" w:cs="Times New Roman"/>
          <w:i/>
          <w:sz w:val="20"/>
          <w:szCs w:val="20"/>
        </w:rPr>
        <w:t>Zdroj</w:t>
      </w:r>
      <w:r w:rsidR="00DF128A" w:rsidRPr="00622CAB">
        <w:rPr>
          <w:rFonts w:ascii="Times New Roman" w:hAnsi="Times New Roman" w:cs="Times New Roman"/>
          <w:i/>
          <w:sz w:val="20"/>
          <w:szCs w:val="20"/>
        </w:rPr>
        <w:t xml:space="preserve">: Uranium World, World Nuclear Association, 2007  </w:t>
      </w:r>
    </w:p>
    <w:p w:rsidR="00622CAB" w:rsidRDefault="00622CAB" w:rsidP="00622CAB">
      <w:pPr>
        <w:widowControl w:val="0"/>
        <w:spacing w:line="276" w:lineRule="auto"/>
        <w:jc w:val="both"/>
        <w:rPr>
          <w:rFonts w:ascii="Times New Roman" w:hAnsi="Times New Roman" w:cs="Times New Roman"/>
          <w:b/>
          <w:sz w:val="24"/>
          <w:szCs w:val="24"/>
        </w:rPr>
      </w:pPr>
    </w:p>
    <w:p w:rsidR="00DF128A" w:rsidRPr="00622CAB" w:rsidRDefault="00622CAB" w:rsidP="00622CAB">
      <w:pPr>
        <w:widowControl w:val="0"/>
        <w:spacing w:line="276" w:lineRule="auto"/>
        <w:jc w:val="both"/>
        <w:rPr>
          <w:rFonts w:ascii="Times New Roman" w:hAnsi="Times New Roman" w:cs="Times New Roman"/>
          <w:b/>
          <w:sz w:val="24"/>
          <w:szCs w:val="24"/>
        </w:rPr>
      </w:pPr>
      <w:r>
        <w:rPr>
          <w:rFonts w:ascii="Times New Roman" w:hAnsi="Times New Roman" w:cs="Times New Roman"/>
          <w:b/>
          <w:sz w:val="24"/>
          <w:szCs w:val="24"/>
        </w:rPr>
        <w:t xml:space="preserve">Dopady  </w:t>
      </w:r>
    </w:p>
    <w:p w:rsidR="00DF128A" w:rsidRPr="00DF128A" w:rsidRDefault="00DF128A" w:rsidP="00622CAB">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Dopady těžby v několika lokalitách</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Kvůli radioaktivitě uranu je jeho těžba pozorně sledována, vyvolává celou řadu sporů a protestů a stejně jako kterákoliv jiná těžba má dopad na krajinu a obyvatelstvo.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lastRenderedPageBreak/>
        <w:t>E. Sequens (1999) upozorňuje, že vždy dochází k záboru určité části přírody, mohou být narušeny lesní ekosystémy či se propadnout poddolované oblasti. Hlubinná těžba se pojí s velkým množstvím zeminy, která musí být někam vyvezena. Samotná těžba uranu pak má několik specifických dopadů, jež lze demonstrovat na případech ze světa.</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V Bulharsku leží již uzavřený uranový důl v bezprostřední blízkosti vesnice Elešnica. V okolí se ještě dnes vyskytuje větší množství radonu, uvolněné dříve do ovzduší ventilací v dolech, aby zatížení horníků bylo v povolených mezích. Předpokládá se, že v důsledku toho připadá 0,3 až 1 případ rakoviny plic ročně na 2 600 obyvatel obce. Rovněž ve východoněmeckých oblastech těžby uranu se v mnohých městech vyskytl zvýšený počet rakoviny plic u mužů, pracujících v dolech. V okolí Schlemy a Schneebergu to však bylo i     u žen, což se vysvětluje obecně vyšší koncentrací radonu.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Radon a prach se však do lidského těla nedostávají jen vdechnutím, ale také přes potraviny, které byly vyrobeny v oblasti těžby. V saském Ronneburgu se ukázalo, že při požívání domácích potravin vyprodukovaných z pšenice pěstované u ventilační šachty se zvyšuje dávka radonu v těle. Dalším způsobem, jak je ohroženo lidské zdraví, je průsak radioaktivních a toxických látek do podpovrchových vod. Toto bylo zaznamenáno také v Sasku, kde vědci vypočítali riziko vzniku onemocnění na 20 až 60 případů na 1 000 obyvatel během celého života (do výsledku byly brány v potaz i dopady radonu v ovzduší). </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r w:rsidRPr="00DF128A">
        <w:rPr>
          <w:rFonts w:ascii="Times New Roman" w:hAnsi="Times New Roman" w:cs="Times New Roman"/>
          <w:sz w:val="24"/>
          <w:szCs w:val="24"/>
        </w:rPr>
        <w:t xml:space="preserve">Škodlivé vlivy se často projevují i po ukončení těžby, zejména se jedná o problematiku odkalovacích nádrží. Jsou známy případy v USA, kdy se použil vysušený kal ke stavbě domů či zavážkám. Americký úřad ochrany životního prostředí EPA riziko vzniku nemoci pro obyvatele takových domů odhaduje na 4 případy ze sta.    </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128A" w:rsidP="00622CAB">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Dohody o uranu</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V říjnu 2006 byla podepsána dohoda o spolupráci při mírovém využití jaderné energie mezi Evropským společenstvím pro atomovou energii (Euratom) a Kazachstánem. Do budoucna se totiž může stát tato středoasijská země hlavním dodavatelem přírodního uranu do Evropské unie, už nyní dovoz z Kazachstánu rychle roste. Dohoda je uzavřená na počáteční období deseti let (K</w:t>
      </w:r>
      <w:r w:rsidR="002575E3">
        <w:rPr>
          <w:rFonts w:ascii="Times New Roman" w:hAnsi="Times New Roman" w:cs="Times New Roman"/>
          <w:sz w:val="24"/>
          <w:szCs w:val="24"/>
        </w:rPr>
        <w:t xml:space="preserve">omise Evropských společenství </w:t>
      </w:r>
      <w:r w:rsidRPr="00DF128A">
        <w:rPr>
          <w:rFonts w:ascii="Times New Roman" w:hAnsi="Times New Roman" w:cs="Times New Roman"/>
          <w:sz w:val="24"/>
          <w:szCs w:val="24"/>
        </w:rPr>
        <w:t xml:space="preserve">2006).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Poptávka po uranu strmě narůstá v Číně. Podle podepsaných smluv se budou zvyšovat dodávky ze Střední Asie a Austrálie. Kanadská vláda v roce 2005 oznámila, že uran do Číny vyveze výměnou za podíl na stavbě čínských jaderných elektráren. Velkolepý jaderný program plánuje i Indie. Jenže některé státy u ní považují za problematické možné využití suroviny na vojenské účely (K</w:t>
      </w:r>
      <w:r w:rsidR="002575E3">
        <w:rPr>
          <w:rFonts w:ascii="Times New Roman" w:hAnsi="Times New Roman" w:cs="Times New Roman"/>
          <w:sz w:val="24"/>
          <w:szCs w:val="24"/>
        </w:rPr>
        <w:t>uhn</w:t>
      </w:r>
      <w:r w:rsidRPr="00DF128A">
        <w:rPr>
          <w:rFonts w:ascii="Times New Roman" w:hAnsi="Times New Roman" w:cs="Times New Roman"/>
          <w:sz w:val="24"/>
          <w:szCs w:val="24"/>
        </w:rPr>
        <w:t xml:space="preserve"> 2006).    </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r w:rsidRPr="00DF128A">
        <w:rPr>
          <w:rFonts w:ascii="Times New Roman" w:hAnsi="Times New Roman" w:cs="Times New Roman"/>
          <w:b/>
          <w:sz w:val="24"/>
          <w:szCs w:val="24"/>
        </w:rPr>
        <w:t xml:space="preserve"> </w:t>
      </w:r>
    </w:p>
    <w:p w:rsidR="00DF128A" w:rsidRPr="00DF128A" w:rsidRDefault="00DF128A" w:rsidP="00622CAB">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Tlak na otevření nových ložisek v ČR</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Rostoucí cena uranu a zvyšující se poptávka se projevují také v narůstajícím tlaku na průzkum a otevření nových ložisek u nás.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V současné době je v České republice jedinou těženou lokalitou Rožná v Dolní Rožínce na Vysočině. V květnu 2007 se rozhodla vláda prodloužit těžbu na dobu neurčitou, respektive po dobu, kdy bude výhodná bez státních dotací. Podle odborníků to bude do roku </w:t>
      </w:r>
      <w:smartTag w:uri="urn:schemas-microsoft-com:office:smarttags" w:element="metricconverter">
        <w:smartTagPr>
          <w:attr w:name="ProductID" w:val="2012 a"/>
        </w:smartTagPr>
        <w:r w:rsidRPr="00DF128A">
          <w:rPr>
            <w:rFonts w:ascii="Times New Roman" w:hAnsi="Times New Roman" w:cs="Times New Roman"/>
            <w:sz w:val="24"/>
            <w:szCs w:val="24"/>
          </w:rPr>
          <w:t>2012 a</w:t>
        </w:r>
      </w:smartTag>
      <w:r w:rsidRPr="00DF128A">
        <w:rPr>
          <w:rFonts w:ascii="Times New Roman" w:hAnsi="Times New Roman" w:cs="Times New Roman"/>
          <w:sz w:val="24"/>
          <w:szCs w:val="24"/>
        </w:rPr>
        <w:t xml:space="preserve"> prodloužení přinese asi 2 miliardy korun. Horníci nyní pracují až v hloubce </w:t>
      </w:r>
      <w:smartTag w:uri="urn:schemas-microsoft-com:office:smarttags" w:element="metricconverter">
        <w:smartTagPr>
          <w:attr w:name="ProductID" w:val="1 100 metrů"/>
        </w:smartTagPr>
        <w:r w:rsidRPr="00DF128A">
          <w:rPr>
            <w:rFonts w:ascii="Times New Roman" w:hAnsi="Times New Roman" w:cs="Times New Roman"/>
            <w:sz w:val="24"/>
            <w:szCs w:val="24"/>
          </w:rPr>
          <w:t>1 100 metrů</w:t>
        </w:r>
      </w:smartTag>
      <w:r w:rsidRPr="00DF128A">
        <w:rPr>
          <w:rFonts w:ascii="Times New Roman" w:hAnsi="Times New Roman" w:cs="Times New Roman"/>
          <w:sz w:val="24"/>
          <w:szCs w:val="24"/>
        </w:rPr>
        <w:t xml:space="preserve">, tedy do 22. patra. Potvrzené zásoby sahají do úrovně 24. patra. Uran láká i jinde na Vysočině. V roce 2007 zamítlo Ministerstvo životního prostředí ČR žádost společnosti Uran </w:t>
      </w:r>
      <w:r w:rsidRPr="00DF128A">
        <w:rPr>
          <w:rFonts w:ascii="Times New Roman" w:hAnsi="Times New Roman" w:cs="Times New Roman"/>
          <w:sz w:val="24"/>
          <w:szCs w:val="24"/>
        </w:rPr>
        <w:lastRenderedPageBreak/>
        <w:t>na prozkoumání uranových ložisek v okolí Polné, Věžnice, Brzkova a Jamného u Přibyslavi. Jedním z hlavních důvodů rozhodnutí byl silný odpor tamních obyvatel (</w:t>
      </w:r>
      <w:r w:rsidR="002575E3">
        <w:rPr>
          <w:rFonts w:ascii="Times New Roman" w:hAnsi="Times New Roman" w:cs="Times New Roman"/>
          <w:sz w:val="24"/>
          <w:szCs w:val="24"/>
        </w:rPr>
        <w:t>Kubíčková</w:t>
      </w:r>
      <w:r w:rsidRPr="00DF128A">
        <w:rPr>
          <w:rFonts w:ascii="Times New Roman" w:hAnsi="Times New Roman" w:cs="Times New Roman"/>
          <w:sz w:val="24"/>
          <w:szCs w:val="24"/>
        </w:rPr>
        <w:t xml:space="preserve"> 2008).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Firma Uran by také ráda znovu obnovila těžbu ve Stráži pod Ralskem. Místo chemické, která zdevastovala okolní krajinu, by však upřednostnila hlubinou. Debata na toto téma je však velmi omezená, protože ve Stráži a v Hamru na Jezeře (další ložisko) se teď za miliardy ze státního rozpočtu likvidují ekologické škody a těžba v sousedství sanací by byla značně komplikovaná. (</w:t>
      </w:r>
      <w:r w:rsidR="002575E3">
        <w:rPr>
          <w:rFonts w:ascii="Times New Roman" w:hAnsi="Times New Roman" w:cs="Times New Roman"/>
          <w:sz w:val="24"/>
          <w:szCs w:val="24"/>
        </w:rPr>
        <w:t>Kubíčková</w:t>
      </w:r>
      <w:r w:rsidR="002575E3" w:rsidRPr="00DF128A">
        <w:rPr>
          <w:rFonts w:ascii="Times New Roman" w:hAnsi="Times New Roman" w:cs="Times New Roman"/>
          <w:sz w:val="24"/>
          <w:szCs w:val="24"/>
        </w:rPr>
        <w:t xml:space="preserve"> </w:t>
      </w:r>
      <w:r w:rsidRPr="00DF128A">
        <w:rPr>
          <w:rFonts w:ascii="Times New Roman" w:hAnsi="Times New Roman" w:cs="Times New Roman"/>
          <w:sz w:val="24"/>
          <w:szCs w:val="24"/>
        </w:rPr>
        <w:t>2008). Uvažovanou lokalitou je také Osečná - Kotel v Podještědí. Státní podnik Diamo zažádal o prohlášení lokality za chráněné ložiskové území na ploše 10,5 km</w:t>
      </w:r>
      <w:r w:rsidRPr="00DF128A">
        <w:rPr>
          <w:rFonts w:ascii="Times New Roman" w:hAnsi="Times New Roman" w:cs="Times New Roman"/>
          <w:sz w:val="24"/>
          <w:szCs w:val="24"/>
          <w:vertAlign w:val="superscript"/>
        </w:rPr>
        <w:t>2</w:t>
      </w:r>
      <w:r w:rsidRPr="00DF128A">
        <w:rPr>
          <w:rFonts w:ascii="Times New Roman" w:hAnsi="Times New Roman" w:cs="Times New Roman"/>
          <w:sz w:val="24"/>
          <w:szCs w:val="24"/>
        </w:rPr>
        <w:t>. Odhaduje se, že se zde nachází až 20 tisíc tun rudy, což představuje hodnotu asi 120 miliard korun. Zvažovaná těžba ale opět naráží na odpor místních, kteří podepisují petice a pořádají protesty (</w:t>
      </w:r>
      <w:r w:rsidR="002575E3">
        <w:rPr>
          <w:rFonts w:ascii="Times New Roman" w:hAnsi="Times New Roman" w:cs="Times New Roman"/>
          <w:sz w:val="24"/>
          <w:szCs w:val="24"/>
        </w:rPr>
        <w:t>Pluhař</w:t>
      </w:r>
      <w:r w:rsidRPr="00DF128A">
        <w:rPr>
          <w:rFonts w:ascii="Times New Roman" w:hAnsi="Times New Roman" w:cs="Times New Roman"/>
          <w:sz w:val="24"/>
          <w:szCs w:val="24"/>
        </w:rPr>
        <w:t xml:space="preserve"> 2007).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 </w:t>
      </w:r>
    </w:p>
    <w:p w:rsidR="00DF128A" w:rsidRPr="00DF128A" w:rsidRDefault="00DF128A" w:rsidP="00DF128A">
      <w:pPr>
        <w:widowControl w:val="0"/>
        <w:spacing w:line="276" w:lineRule="auto"/>
        <w:ind w:firstLine="709"/>
        <w:jc w:val="both"/>
        <w:rPr>
          <w:rFonts w:ascii="Times New Roman" w:hAnsi="Times New Roman" w:cs="Times New Roman"/>
          <w:i/>
          <w:sz w:val="24"/>
          <w:szCs w:val="24"/>
        </w:rPr>
      </w:pPr>
      <w:r w:rsidRPr="00DF128A">
        <w:rPr>
          <w:rFonts w:ascii="Times New Roman" w:hAnsi="Times New Roman" w:cs="Times New Roman"/>
          <w:i/>
          <w:sz w:val="24"/>
          <w:szCs w:val="24"/>
        </w:rPr>
        <w:t xml:space="preserve">Uran je důležitou surovinou, používanou zejména v energetice a vojenství. Jeho těžba je koncentrována do několika států světa. Největších 8 společností ovládá asi 85 % trhu, na australské a francouzské společnosti připadá větší podíl než u samotné těžby. Spotřeba je více rozložena, téměř odpovídá jaderné energetice jednotlivých států. Trh vytváří výrazné exportéry (státy bez jaderných elektráren) na jedné straně a výrazné dovozce (téměř nebo vůbec netěží) na druhé. Kvůli své radioaktivitě je pozorně sledováno uzavírání smluv. Jeho hlavní negativní dopady představuje zhoršení zdravotního stavu obyvatel (především rakovinu). Situace ve světě se projevuje v podobě tlaku na otevření nových ložisek u nás. Zatím však zůstává jediné.  </w:t>
      </w:r>
    </w:p>
    <w:p w:rsidR="00DF128A" w:rsidRPr="00DF128A" w:rsidRDefault="00DF128A" w:rsidP="00DF128A">
      <w:pPr>
        <w:widowControl w:val="0"/>
        <w:spacing w:line="276" w:lineRule="auto"/>
        <w:ind w:firstLine="709"/>
        <w:jc w:val="both"/>
        <w:rPr>
          <w:rFonts w:ascii="Times New Roman" w:hAnsi="Times New Roman" w:cs="Times New Roman"/>
          <w:i/>
          <w:sz w:val="24"/>
          <w:szCs w:val="24"/>
        </w:rPr>
      </w:pPr>
      <w:r w:rsidRPr="00DF128A">
        <w:rPr>
          <w:rFonts w:ascii="Times New Roman" w:hAnsi="Times New Roman" w:cs="Times New Roman"/>
          <w:i/>
          <w:sz w:val="24"/>
          <w:szCs w:val="24"/>
        </w:rPr>
        <w:t xml:space="preserve"> </w:t>
      </w:r>
    </w:p>
    <w:p w:rsidR="00DF128A" w:rsidRPr="00DF128A" w:rsidRDefault="00DF128A" w:rsidP="00622CAB">
      <w:pPr>
        <w:widowControl w:val="0"/>
        <w:spacing w:line="276" w:lineRule="auto"/>
        <w:jc w:val="both"/>
        <w:rPr>
          <w:rFonts w:ascii="Times New Roman" w:hAnsi="Times New Roman" w:cs="Times New Roman"/>
          <w:b/>
          <w:sz w:val="24"/>
          <w:szCs w:val="24"/>
        </w:rPr>
      </w:pPr>
      <w:r w:rsidRPr="00DF128A">
        <w:rPr>
          <w:rFonts w:ascii="Times New Roman" w:hAnsi="Times New Roman" w:cs="Times New Roman"/>
          <w:b/>
          <w:sz w:val="24"/>
          <w:szCs w:val="24"/>
        </w:rPr>
        <w:t xml:space="preserve"> </w:t>
      </w:r>
      <w:r w:rsidR="00E20A69">
        <w:rPr>
          <w:rFonts w:ascii="Times New Roman" w:hAnsi="Times New Roman" w:cs="Times New Roman"/>
          <w:b/>
          <w:sz w:val="24"/>
          <w:szCs w:val="24"/>
        </w:rPr>
        <w:t>LITERATURA A ZDROJE</w:t>
      </w:r>
    </w:p>
    <w:p w:rsidR="00DF128A" w:rsidRPr="002575E3" w:rsidRDefault="00DF128A" w:rsidP="002575E3">
      <w:pPr>
        <w:widowControl w:val="0"/>
        <w:spacing w:after="120" w:line="276" w:lineRule="auto"/>
        <w:jc w:val="both"/>
        <w:rPr>
          <w:rFonts w:ascii="Times New Roman" w:hAnsi="Times New Roman" w:cs="Times New Roman"/>
          <w:iCs/>
          <w:sz w:val="20"/>
          <w:szCs w:val="20"/>
        </w:rPr>
      </w:pPr>
      <w:r w:rsidRPr="00FC3F6B">
        <w:rPr>
          <w:rFonts w:ascii="Times New Roman" w:hAnsi="Times New Roman" w:cs="Times New Roman"/>
          <w:i/>
          <w:iCs/>
          <w:sz w:val="20"/>
          <w:szCs w:val="20"/>
        </w:rPr>
        <w:t>ČTK: Cena uranu na světových trzích klesá</w:t>
      </w:r>
      <w:r w:rsidR="00FC3F6B">
        <w:rPr>
          <w:rFonts w:ascii="Times New Roman" w:hAnsi="Times New Roman" w:cs="Times New Roman"/>
          <w:iCs/>
          <w:sz w:val="20"/>
          <w:szCs w:val="20"/>
        </w:rPr>
        <w:t>.</w:t>
      </w:r>
      <w:r w:rsidRPr="002575E3">
        <w:rPr>
          <w:rFonts w:ascii="Times New Roman" w:hAnsi="Times New Roman" w:cs="Times New Roman"/>
          <w:iCs/>
          <w:sz w:val="20"/>
          <w:szCs w:val="20"/>
        </w:rPr>
        <w:t xml:space="preserve"> </w:t>
      </w:r>
      <w:r w:rsidR="00FC3F6B">
        <w:rPr>
          <w:rFonts w:ascii="Times New Roman" w:hAnsi="Times New Roman" w:cs="Times New Roman"/>
          <w:iCs/>
          <w:sz w:val="20"/>
          <w:szCs w:val="20"/>
        </w:rPr>
        <w:t xml:space="preserve">Týden, </w:t>
      </w:r>
      <w:r w:rsidRPr="002575E3">
        <w:rPr>
          <w:rFonts w:ascii="Times New Roman" w:hAnsi="Times New Roman" w:cs="Times New Roman"/>
          <w:iCs/>
          <w:sz w:val="20"/>
          <w:szCs w:val="20"/>
        </w:rPr>
        <w:t>2007</w:t>
      </w:r>
      <w:r w:rsidR="00FC3F6B">
        <w:rPr>
          <w:rFonts w:ascii="Times New Roman" w:hAnsi="Times New Roman" w:cs="Times New Roman"/>
          <w:iCs/>
          <w:sz w:val="20"/>
          <w:szCs w:val="20"/>
        </w:rPr>
        <w:t>.</w:t>
      </w:r>
      <w:r w:rsidRPr="002575E3">
        <w:rPr>
          <w:rFonts w:ascii="Times New Roman" w:hAnsi="Times New Roman" w:cs="Times New Roman"/>
          <w:iCs/>
          <w:sz w:val="20"/>
          <w:szCs w:val="20"/>
        </w:rPr>
        <w:t xml:space="preserve"> </w:t>
      </w:r>
      <w:r w:rsidR="00FC3F6B" w:rsidRPr="0012130E">
        <w:rPr>
          <w:rFonts w:ascii="Times New Roman" w:hAnsi="Times New Roman" w:cs="Times New Roman"/>
          <w:sz w:val="20"/>
          <w:szCs w:val="20"/>
        </w:rPr>
        <w:t xml:space="preserve">[cit. 20. července 2011]. Dostupný online </w:t>
      </w:r>
      <w:r w:rsidR="00FC3F6B" w:rsidRPr="0012130E">
        <w:rPr>
          <w:rFonts w:ascii="Times New Roman" w:hAnsi="Times New Roman" w:cs="Times New Roman"/>
          <w:iCs/>
          <w:sz w:val="20"/>
          <w:szCs w:val="20"/>
        </w:rPr>
        <w:t>&lt;</w:t>
      </w:r>
      <w:r w:rsidRPr="002575E3">
        <w:rPr>
          <w:rFonts w:ascii="Times New Roman" w:hAnsi="Times New Roman" w:cs="Times New Roman"/>
          <w:iCs/>
          <w:sz w:val="20"/>
          <w:szCs w:val="20"/>
        </w:rPr>
        <w:t>http://www.tyden.cz/rubriky/byznys/svet/cena-uranu-na-svetovych-trzich-klesa_ 19843.html&gt;.</w:t>
      </w:r>
    </w:p>
    <w:p w:rsidR="00DF128A" w:rsidRPr="002575E3" w:rsidRDefault="00DF128A" w:rsidP="002575E3">
      <w:pPr>
        <w:widowControl w:val="0"/>
        <w:spacing w:after="120" w:line="276" w:lineRule="auto"/>
        <w:jc w:val="both"/>
        <w:rPr>
          <w:rFonts w:ascii="Times New Roman" w:hAnsi="Times New Roman" w:cs="Times New Roman"/>
          <w:iCs/>
          <w:sz w:val="20"/>
          <w:szCs w:val="20"/>
        </w:rPr>
      </w:pPr>
      <w:r w:rsidRPr="00FC3F6B">
        <w:rPr>
          <w:rFonts w:ascii="Times New Roman" w:hAnsi="Times New Roman" w:cs="Times New Roman"/>
          <w:i/>
          <w:iCs/>
          <w:sz w:val="20"/>
          <w:szCs w:val="20"/>
        </w:rPr>
        <w:t>K</w:t>
      </w:r>
      <w:r w:rsidR="002575E3" w:rsidRPr="00FC3F6B">
        <w:rPr>
          <w:rFonts w:ascii="Times New Roman" w:hAnsi="Times New Roman" w:cs="Times New Roman"/>
          <w:i/>
          <w:iCs/>
          <w:sz w:val="20"/>
          <w:szCs w:val="20"/>
        </w:rPr>
        <w:t>omise Evropských společenství</w:t>
      </w:r>
      <w:r w:rsidRPr="00FC3F6B">
        <w:rPr>
          <w:rFonts w:ascii="Times New Roman" w:hAnsi="Times New Roman" w:cs="Times New Roman"/>
          <w:i/>
          <w:iCs/>
          <w:sz w:val="20"/>
          <w:szCs w:val="20"/>
        </w:rPr>
        <w:t>: Doporučení Komise Radě KOM(2006) 617 v konečném zněn</w:t>
      </w:r>
      <w:r w:rsidR="00FC3F6B">
        <w:rPr>
          <w:rFonts w:ascii="Times New Roman" w:hAnsi="Times New Roman" w:cs="Times New Roman"/>
          <w:i/>
          <w:iCs/>
          <w:sz w:val="20"/>
          <w:szCs w:val="20"/>
        </w:rPr>
        <w:t xml:space="preserve">í. </w:t>
      </w:r>
      <w:r w:rsidR="00FC3F6B">
        <w:rPr>
          <w:rFonts w:ascii="Times New Roman" w:hAnsi="Times New Roman" w:cs="Times New Roman"/>
          <w:iCs/>
          <w:sz w:val="20"/>
          <w:szCs w:val="20"/>
        </w:rPr>
        <w:t>EU</w:t>
      </w:r>
      <w:r w:rsidRPr="002575E3">
        <w:rPr>
          <w:rFonts w:ascii="Times New Roman" w:hAnsi="Times New Roman" w:cs="Times New Roman"/>
          <w:iCs/>
          <w:sz w:val="20"/>
          <w:szCs w:val="20"/>
        </w:rPr>
        <w:t>,</w:t>
      </w:r>
      <w:r w:rsidR="00FC3F6B">
        <w:rPr>
          <w:rFonts w:ascii="Times New Roman" w:hAnsi="Times New Roman" w:cs="Times New Roman"/>
          <w:iCs/>
          <w:sz w:val="20"/>
          <w:szCs w:val="20"/>
        </w:rPr>
        <w:t xml:space="preserve"> 2006.</w:t>
      </w:r>
      <w:r w:rsidRPr="002575E3">
        <w:rPr>
          <w:rFonts w:ascii="Times New Roman" w:hAnsi="Times New Roman" w:cs="Times New Roman"/>
          <w:iCs/>
          <w:sz w:val="20"/>
          <w:szCs w:val="20"/>
        </w:rPr>
        <w:t xml:space="preserve"> </w:t>
      </w:r>
      <w:r w:rsidR="00FC3F6B" w:rsidRPr="0012130E">
        <w:rPr>
          <w:rFonts w:ascii="Times New Roman" w:hAnsi="Times New Roman" w:cs="Times New Roman"/>
          <w:sz w:val="20"/>
          <w:szCs w:val="20"/>
        </w:rPr>
        <w:t xml:space="preserve">[cit. 20. července 2011]. Dostupný online </w:t>
      </w:r>
      <w:r w:rsidR="00FC3F6B" w:rsidRPr="0012130E">
        <w:rPr>
          <w:rFonts w:ascii="Times New Roman" w:hAnsi="Times New Roman" w:cs="Times New Roman"/>
          <w:iCs/>
          <w:sz w:val="20"/>
          <w:szCs w:val="20"/>
        </w:rPr>
        <w:t>&lt;</w:t>
      </w:r>
      <w:r w:rsidRPr="002575E3">
        <w:rPr>
          <w:rFonts w:ascii="Times New Roman" w:hAnsi="Times New Roman" w:cs="Times New Roman"/>
          <w:iCs/>
          <w:sz w:val="20"/>
          <w:szCs w:val="20"/>
        </w:rPr>
        <w:t>http://eur-lex.europa.eu/LexUriServ/LexUriServ.do?uri=COM:2006:0617:FIN:CS:PDF&gt;.</w:t>
      </w:r>
    </w:p>
    <w:p w:rsidR="00DF128A" w:rsidRPr="002575E3" w:rsidRDefault="00DF128A" w:rsidP="002575E3">
      <w:pPr>
        <w:widowControl w:val="0"/>
        <w:spacing w:after="120" w:line="276" w:lineRule="auto"/>
        <w:jc w:val="both"/>
        <w:rPr>
          <w:rFonts w:ascii="Times New Roman" w:hAnsi="Times New Roman" w:cs="Times New Roman"/>
          <w:iCs/>
          <w:sz w:val="20"/>
          <w:szCs w:val="20"/>
        </w:rPr>
      </w:pPr>
      <w:r w:rsidRPr="00FC3F6B">
        <w:rPr>
          <w:rFonts w:ascii="Times New Roman" w:hAnsi="Times New Roman" w:cs="Times New Roman"/>
          <w:i/>
          <w:iCs/>
          <w:sz w:val="20"/>
          <w:szCs w:val="20"/>
        </w:rPr>
        <w:t>K</w:t>
      </w:r>
      <w:r w:rsidR="002575E3" w:rsidRPr="00FC3F6B">
        <w:rPr>
          <w:rFonts w:ascii="Times New Roman" w:hAnsi="Times New Roman" w:cs="Times New Roman"/>
          <w:i/>
          <w:iCs/>
          <w:sz w:val="20"/>
          <w:szCs w:val="20"/>
        </w:rPr>
        <w:t>ubíčková</w:t>
      </w:r>
      <w:r w:rsidRPr="00FC3F6B">
        <w:rPr>
          <w:rFonts w:ascii="Times New Roman" w:hAnsi="Times New Roman" w:cs="Times New Roman"/>
          <w:i/>
          <w:iCs/>
          <w:sz w:val="20"/>
          <w:szCs w:val="20"/>
        </w:rPr>
        <w:t>, V.: Těžbu uranu brzdí špatné zkušenosti</w:t>
      </w:r>
      <w:r w:rsidR="00FC3F6B">
        <w:rPr>
          <w:rFonts w:ascii="Times New Roman" w:hAnsi="Times New Roman" w:cs="Times New Roman"/>
          <w:i/>
          <w:iCs/>
          <w:sz w:val="20"/>
          <w:szCs w:val="20"/>
        </w:rPr>
        <w:t xml:space="preserve">. </w:t>
      </w:r>
      <w:r w:rsidR="00FC3F6B">
        <w:rPr>
          <w:rFonts w:ascii="Times New Roman" w:hAnsi="Times New Roman" w:cs="Times New Roman"/>
          <w:iCs/>
          <w:sz w:val="20"/>
          <w:szCs w:val="20"/>
        </w:rPr>
        <w:t>Profit,</w:t>
      </w:r>
      <w:r w:rsidRPr="002575E3">
        <w:rPr>
          <w:rFonts w:ascii="Times New Roman" w:hAnsi="Times New Roman" w:cs="Times New Roman"/>
          <w:iCs/>
          <w:sz w:val="20"/>
          <w:szCs w:val="20"/>
        </w:rPr>
        <w:t xml:space="preserve"> 2008</w:t>
      </w:r>
      <w:r w:rsidR="00FC3F6B">
        <w:rPr>
          <w:rFonts w:ascii="Times New Roman" w:hAnsi="Times New Roman" w:cs="Times New Roman"/>
          <w:iCs/>
          <w:sz w:val="20"/>
          <w:szCs w:val="20"/>
        </w:rPr>
        <w:t>.</w:t>
      </w:r>
      <w:r w:rsidRPr="002575E3">
        <w:rPr>
          <w:rFonts w:ascii="Times New Roman" w:hAnsi="Times New Roman" w:cs="Times New Roman"/>
          <w:iCs/>
          <w:sz w:val="20"/>
          <w:szCs w:val="20"/>
        </w:rPr>
        <w:t xml:space="preserve"> </w:t>
      </w:r>
      <w:r w:rsidR="00FC3F6B" w:rsidRPr="0012130E">
        <w:rPr>
          <w:rFonts w:ascii="Times New Roman" w:hAnsi="Times New Roman" w:cs="Times New Roman"/>
          <w:sz w:val="20"/>
          <w:szCs w:val="20"/>
        </w:rPr>
        <w:t xml:space="preserve">[cit. 20. července 2011]. Dostupný online </w:t>
      </w:r>
      <w:r w:rsidR="00FC3F6B" w:rsidRPr="0012130E">
        <w:rPr>
          <w:rFonts w:ascii="Times New Roman" w:hAnsi="Times New Roman" w:cs="Times New Roman"/>
          <w:iCs/>
          <w:sz w:val="20"/>
          <w:szCs w:val="20"/>
        </w:rPr>
        <w:t>&lt;</w:t>
      </w:r>
      <w:r w:rsidRPr="002575E3">
        <w:rPr>
          <w:rFonts w:ascii="Times New Roman" w:hAnsi="Times New Roman" w:cs="Times New Roman"/>
          <w:iCs/>
          <w:sz w:val="20"/>
          <w:szCs w:val="20"/>
        </w:rPr>
        <w:t>http://www.cbw.cz/cz/tezbu-uranu-brzdi-spatne-zkusenosti/395.html&gt;.</w:t>
      </w:r>
    </w:p>
    <w:p w:rsidR="00DF128A" w:rsidRPr="002575E3" w:rsidRDefault="00DF128A" w:rsidP="002575E3">
      <w:pPr>
        <w:widowControl w:val="0"/>
        <w:spacing w:after="120" w:line="276" w:lineRule="auto"/>
        <w:jc w:val="both"/>
        <w:rPr>
          <w:rFonts w:ascii="Times New Roman" w:hAnsi="Times New Roman" w:cs="Times New Roman"/>
          <w:iCs/>
          <w:sz w:val="20"/>
          <w:szCs w:val="20"/>
        </w:rPr>
      </w:pPr>
      <w:r w:rsidRPr="00FC3F6B">
        <w:rPr>
          <w:rFonts w:ascii="Times New Roman" w:hAnsi="Times New Roman" w:cs="Times New Roman"/>
          <w:i/>
          <w:iCs/>
          <w:sz w:val="20"/>
          <w:szCs w:val="20"/>
        </w:rPr>
        <w:t>K</w:t>
      </w:r>
      <w:r w:rsidR="002575E3" w:rsidRPr="00FC3F6B">
        <w:rPr>
          <w:rFonts w:ascii="Times New Roman" w:hAnsi="Times New Roman" w:cs="Times New Roman"/>
          <w:i/>
          <w:iCs/>
          <w:sz w:val="20"/>
          <w:szCs w:val="20"/>
        </w:rPr>
        <w:t>uhn</w:t>
      </w:r>
      <w:r w:rsidRPr="00FC3F6B">
        <w:rPr>
          <w:rFonts w:ascii="Times New Roman" w:hAnsi="Times New Roman" w:cs="Times New Roman"/>
          <w:i/>
          <w:iCs/>
          <w:sz w:val="20"/>
          <w:szCs w:val="20"/>
        </w:rPr>
        <w:t>, R.: Zapomeňte na ropu, na řadě je uran</w:t>
      </w:r>
      <w:r w:rsidR="00FC3F6B">
        <w:rPr>
          <w:rFonts w:ascii="Times New Roman" w:hAnsi="Times New Roman" w:cs="Times New Roman"/>
          <w:i/>
          <w:iCs/>
          <w:sz w:val="20"/>
          <w:szCs w:val="20"/>
        </w:rPr>
        <w:t xml:space="preserve">. </w:t>
      </w:r>
      <w:r w:rsidR="00FC3F6B">
        <w:rPr>
          <w:rFonts w:ascii="Times New Roman" w:hAnsi="Times New Roman" w:cs="Times New Roman"/>
          <w:iCs/>
          <w:sz w:val="20"/>
          <w:szCs w:val="20"/>
        </w:rPr>
        <w:t>Global affairs,</w:t>
      </w:r>
      <w:r w:rsidRPr="002575E3">
        <w:rPr>
          <w:rFonts w:ascii="Times New Roman" w:hAnsi="Times New Roman" w:cs="Times New Roman"/>
          <w:iCs/>
          <w:sz w:val="20"/>
          <w:szCs w:val="20"/>
        </w:rPr>
        <w:t xml:space="preserve"> 2006</w:t>
      </w:r>
      <w:r w:rsidR="00FC3F6B">
        <w:rPr>
          <w:rFonts w:ascii="Times New Roman" w:hAnsi="Times New Roman" w:cs="Times New Roman"/>
          <w:iCs/>
          <w:sz w:val="20"/>
          <w:szCs w:val="20"/>
        </w:rPr>
        <w:t>.</w:t>
      </w:r>
      <w:r w:rsidRPr="002575E3">
        <w:rPr>
          <w:rFonts w:ascii="Times New Roman" w:hAnsi="Times New Roman" w:cs="Times New Roman"/>
          <w:iCs/>
          <w:sz w:val="20"/>
          <w:szCs w:val="20"/>
        </w:rPr>
        <w:t xml:space="preserve"> </w:t>
      </w:r>
      <w:r w:rsidR="00FC3F6B" w:rsidRPr="0012130E">
        <w:rPr>
          <w:rFonts w:ascii="Times New Roman" w:hAnsi="Times New Roman" w:cs="Times New Roman"/>
          <w:sz w:val="20"/>
          <w:szCs w:val="20"/>
        </w:rPr>
        <w:t xml:space="preserve">[cit. 20. července 2011]. Dostupný online </w:t>
      </w:r>
      <w:r w:rsidR="00FC3F6B" w:rsidRPr="0012130E">
        <w:rPr>
          <w:rFonts w:ascii="Times New Roman" w:hAnsi="Times New Roman" w:cs="Times New Roman"/>
          <w:iCs/>
          <w:sz w:val="20"/>
          <w:szCs w:val="20"/>
        </w:rPr>
        <w:t>&lt;</w:t>
      </w:r>
      <w:r w:rsidRPr="002575E3">
        <w:rPr>
          <w:rFonts w:ascii="Times New Roman" w:hAnsi="Times New Roman" w:cs="Times New Roman"/>
          <w:iCs/>
          <w:sz w:val="20"/>
          <w:szCs w:val="20"/>
        </w:rPr>
        <w:t>http://www.globalaffairs.cz/cz/articles/176.html&gt;.</w:t>
      </w:r>
    </w:p>
    <w:p w:rsidR="00DF128A" w:rsidRPr="002575E3" w:rsidRDefault="00DF128A" w:rsidP="002575E3">
      <w:pPr>
        <w:widowControl w:val="0"/>
        <w:spacing w:after="120" w:line="276" w:lineRule="auto"/>
        <w:jc w:val="both"/>
        <w:rPr>
          <w:rFonts w:ascii="Times New Roman" w:hAnsi="Times New Roman" w:cs="Times New Roman"/>
          <w:iCs/>
          <w:sz w:val="20"/>
          <w:szCs w:val="20"/>
        </w:rPr>
      </w:pPr>
      <w:r w:rsidRPr="00FC3F6B">
        <w:rPr>
          <w:rFonts w:ascii="Times New Roman" w:hAnsi="Times New Roman" w:cs="Times New Roman"/>
          <w:i/>
          <w:iCs/>
          <w:sz w:val="20"/>
          <w:szCs w:val="20"/>
        </w:rPr>
        <w:t>P</w:t>
      </w:r>
      <w:r w:rsidR="002575E3" w:rsidRPr="00FC3F6B">
        <w:rPr>
          <w:rFonts w:ascii="Times New Roman" w:hAnsi="Times New Roman" w:cs="Times New Roman"/>
          <w:i/>
          <w:iCs/>
          <w:sz w:val="20"/>
          <w:szCs w:val="20"/>
        </w:rPr>
        <w:t>luhař</w:t>
      </w:r>
      <w:r w:rsidRPr="00FC3F6B">
        <w:rPr>
          <w:rFonts w:ascii="Times New Roman" w:hAnsi="Times New Roman" w:cs="Times New Roman"/>
          <w:i/>
          <w:iCs/>
          <w:sz w:val="20"/>
          <w:szCs w:val="20"/>
        </w:rPr>
        <w:t>, A.: Stovky lidí protestovali v Podještědí proti těžbě uranu</w:t>
      </w:r>
      <w:r w:rsidR="00FC3F6B">
        <w:rPr>
          <w:rFonts w:ascii="Times New Roman" w:hAnsi="Times New Roman" w:cs="Times New Roman"/>
          <w:i/>
          <w:iCs/>
          <w:sz w:val="20"/>
          <w:szCs w:val="20"/>
        </w:rPr>
        <w:t xml:space="preserve">. </w:t>
      </w:r>
      <w:r w:rsidR="00FC3F6B">
        <w:rPr>
          <w:rFonts w:ascii="Times New Roman" w:hAnsi="Times New Roman" w:cs="Times New Roman"/>
          <w:iCs/>
          <w:sz w:val="20"/>
          <w:szCs w:val="20"/>
        </w:rPr>
        <w:t>iDnes,</w:t>
      </w:r>
      <w:r w:rsidRPr="002575E3">
        <w:rPr>
          <w:rFonts w:ascii="Times New Roman" w:hAnsi="Times New Roman" w:cs="Times New Roman"/>
          <w:iCs/>
          <w:sz w:val="20"/>
          <w:szCs w:val="20"/>
        </w:rPr>
        <w:t xml:space="preserve"> 2007</w:t>
      </w:r>
      <w:r w:rsidR="00FC3F6B">
        <w:rPr>
          <w:rFonts w:ascii="Times New Roman" w:hAnsi="Times New Roman" w:cs="Times New Roman"/>
          <w:iCs/>
          <w:sz w:val="20"/>
          <w:szCs w:val="20"/>
        </w:rPr>
        <w:t>.</w:t>
      </w:r>
      <w:r w:rsidRPr="002575E3">
        <w:rPr>
          <w:rFonts w:ascii="Times New Roman" w:hAnsi="Times New Roman" w:cs="Times New Roman"/>
          <w:iCs/>
          <w:sz w:val="20"/>
          <w:szCs w:val="20"/>
        </w:rPr>
        <w:t xml:space="preserve"> </w:t>
      </w:r>
      <w:r w:rsidR="00FC3F6B" w:rsidRPr="0012130E">
        <w:rPr>
          <w:rFonts w:ascii="Times New Roman" w:hAnsi="Times New Roman" w:cs="Times New Roman"/>
          <w:sz w:val="20"/>
          <w:szCs w:val="20"/>
        </w:rPr>
        <w:t xml:space="preserve">[cit. 20. července 2011]. Dostupný online </w:t>
      </w:r>
      <w:r w:rsidR="00FC3F6B" w:rsidRPr="0012130E">
        <w:rPr>
          <w:rFonts w:ascii="Times New Roman" w:hAnsi="Times New Roman" w:cs="Times New Roman"/>
          <w:iCs/>
          <w:sz w:val="20"/>
          <w:szCs w:val="20"/>
        </w:rPr>
        <w:t>&lt;</w:t>
      </w:r>
      <w:r w:rsidRPr="002575E3">
        <w:rPr>
          <w:rFonts w:ascii="Times New Roman" w:hAnsi="Times New Roman" w:cs="Times New Roman"/>
          <w:iCs/>
          <w:sz w:val="20"/>
          <w:szCs w:val="20"/>
        </w:rPr>
        <w:t>http://zpravy.idnes.cz/stovky-lidi-protestovaly-v-podjestedi-proti-tezbe-uranu-pzb-/domaci.asp?c=A071230_132535_domaci_jan&gt;.</w:t>
      </w:r>
    </w:p>
    <w:p w:rsidR="00DF128A" w:rsidRPr="002575E3" w:rsidRDefault="00DF128A" w:rsidP="002575E3">
      <w:pPr>
        <w:widowControl w:val="0"/>
        <w:spacing w:after="120" w:line="276" w:lineRule="auto"/>
        <w:jc w:val="both"/>
        <w:rPr>
          <w:rFonts w:ascii="Times New Roman" w:hAnsi="Times New Roman" w:cs="Times New Roman"/>
          <w:iCs/>
          <w:sz w:val="20"/>
          <w:szCs w:val="20"/>
        </w:rPr>
      </w:pPr>
      <w:r w:rsidRPr="002575E3">
        <w:rPr>
          <w:rFonts w:ascii="Times New Roman" w:hAnsi="Times New Roman" w:cs="Times New Roman"/>
          <w:i/>
          <w:iCs/>
          <w:sz w:val="20"/>
          <w:szCs w:val="20"/>
        </w:rPr>
        <w:t>Poptávka po uranu roste</w:t>
      </w:r>
      <w:r w:rsidR="002575E3">
        <w:rPr>
          <w:rFonts w:ascii="Times New Roman" w:hAnsi="Times New Roman" w:cs="Times New Roman"/>
          <w:i/>
          <w:iCs/>
          <w:sz w:val="20"/>
          <w:szCs w:val="20"/>
        </w:rPr>
        <w:t>,</w:t>
      </w:r>
      <w:r w:rsidRPr="002575E3">
        <w:rPr>
          <w:rFonts w:ascii="Times New Roman" w:hAnsi="Times New Roman" w:cs="Times New Roman"/>
          <w:iCs/>
          <w:sz w:val="20"/>
          <w:szCs w:val="20"/>
        </w:rPr>
        <w:t xml:space="preserve"> </w:t>
      </w:r>
      <w:r w:rsidR="002575E3" w:rsidRPr="002575E3">
        <w:rPr>
          <w:rFonts w:ascii="Times New Roman" w:hAnsi="Times New Roman" w:cs="Times New Roman"/>
          <w:iCs/>
          <w:sz w:val="20"/>
          <w:szCs w:val="20"/>
        </w:rPr>
        <w:t>ZPRÁVY 24</w:t>
      </w:r>
      <w:r w:rsidR="002575E3">
        <w:rPr>
          <w:rFonts w:ascii="Times New Roman" w:hAnsi="Times New Roman" w:cs="Times New Roman"/>
          <w:iCs/>
          <w:sz w:val="20"/>
          <w:szCs w:val="20"/>
        </w:rPr>
        <w:t xml:space="preserve">, </w:t>
      </w:r>
      <w:r w:rsidRPr="002575E3">
        <w:rPr>
          <w:rFonts w:ascii="Times New Roman" w:hAnsi="Times New Roman" w:cs="Times New Roman"/>
          <w:iCs/>
          <w:sz w:val="20"/>
          <w:szCs w:val="20"/>
        </w:rPr>
        <w:t>2005</w:t>
      </w:r>
      <w:r w:rsidR="002575E3">
        <w:rPr>
          <w:rFonts w:ascii="Times New Roman" w:hAnsi="Times New Roman" w:cs="Times New Roman"/>
          <w:iCs/>
          <w:sz w:val="20"/>
          <w:szCs w:val="20"/>
        </w:rPr>
        <w:t>.</w:t>
      </w:r>
      <w:r w:rsidRPr="002575E3">
        <w:rPr>
          <w:rFonts w:ascii="Times New Roman" w:hAnsi="Times New Roman" w:cs="Times New Roman"/>
          <w:iCs/>
          <w:sz w:val="20"/>
          <w:szCs w:val="20"/>
        </w:rPr>
        <w:t xml:space="preserve"> </w:t>
      </w:r>
      <w:r w:rsidR="002575E3" w:rsidRPr="0012130E">
        <w:rPr>
          <w:rFonts w:ascii="Times New Roman" w:hAnsi="Times New Roman" w:cs="Times New Roman"/>
          <w:sz w:val="20"/>
          <w:szCs w:val="20"/>
        </w:rPr>
        <w:t xml:space="preserve">[cit. 20. července 2011]. Dostupný online </w:t>
      </w:r>
      <w:r w:rsidR="002575E3" w:rsidRPr="0012130E">
        <w:rPr>
          <w:rFonts w:ascii="Times New Roman" w:hAnsi="Times New Roman" w:cs="Times New Roman"/>
          <w:iCs/>
          <w:sz w:val="20"/>
          <w:szCs w:val="20"/>
        </w:rPr>
        <w:t>&lt;</w:t>
      </w:r>
      <w:r w:rsidRPr="002575E3">
        <w:rPr>
          <w:rFonts w:ascii="Times New Roman" w:hAnsi="Times New Roman" w:cs="Times New Roman"/>
          <w:iCs/>
          <w:sz w:val="20"/>
          <w:szCs w:val="20"/>
        </w:rPr>
        <w:t>http://zpravy24.pantax.cz/2005/05/24.05.05.htm&gt;.</w:t>
      </w:r>
    </w:p>
    <w:p w:rsidR="00FC3F6B" w:rsidRDefault="00FC3F6B" w:rsidP="00FC3F6B">
      <w:pPr>
        <w:widowControl w:val="0"/>
        <w:spacing w:after="120" w:line="276" w:lineRule="auto"/>
        <w:jc w:val="both"/>
        <w:rPr>
          <w:rFonts w:ascii="Times New Roman" w:hAnsi="Times New Roman" w:cs="Times New Roman"/>
          <w:iCs/>
          <w:sz w:val="20"/>
          <w:szCs w:val="20"/>
        </w:rPr>
      </w:pPr>
      <w:r w:rsidRPr="00FC3F6B">
        <w:rPr>
          <w:rFonts w:ascii="Times New Roman" w:hAnsi="Times New Roman" w:cs="Times New Roman"/>
          <w:i/>
          <w:iCs/>
          <w:sz w:val="20"/>
          <w:szCs w:val="20"/>
        </w:rPr>
        <w:t>Sequens, E.: Těžba uranu v České republice.</w:t>
      </w:r>
      <w:r>
        <w:rPr>
          <w:rFonts w:ascii="Times New Roman" w:hAnsi="Times New Roman" w:cs="Times New Roman"/>
          <w:iCs/>
          <w:sz w:val="20"/>
          <w:szCs w:val="20"/>
        </w:rPr>
        <w:t xml:space="preserve"> Jihočeské matky,</w:t>
      </w:r>
      <w:r w:rsidRPr="002575E3">
        <w:rPr>
          <w:rFonts w:ascii="Times New Roman" w:hAnsi="Times New Roman" w:cs="Times New Roman"/>
          <w:iCs/>
          <w:sz w:val="20"/>
          <w:szCs w:val="20"/>
        </w:rPr>
        <w:t xml:space="preserve"> 1999</w:t>
      </w:r>
      <w:r>
        <w:rPr>
          <w:rFonts w:ascii="Times New Roman" w:hAnsi="Times New Roman" w:cs="Times New Roman"/>
          <w:iCs/>
          <w:sz w:val="20"/>
          <w:szCs w:val="20"/>
        </w:rPr>
        <w:t>.</w:t>
      </w:r>
      <w:r w:rsidRPr="002575E3">
        <w:rPr>
          <w:rFonts w:ascii="Times New Roman" w:hAnsi="Times New Roman" w:cs="Times New Roman"/>
          <w:iCs/>
          <w:sz w:val="20"/>
          <w:szCs w:val="20"/>
        </w:rPr>
        <w:t xml:space="preserve"> </w:t>
      </w:r>
      <w:r w:rsidRPr="0012130E">
        <w:rPr>
          <w:rFonts w:ascii="Times New Roman" w:hAnsi="Times New Roman" w:cs="Times New Roman"/>
          <w:sz w:val="20"/>
          <w:szCs w:val="20"/>
        </w:rPr>
        <w:t xml:space="preserve">[cit. 20. července 2011]. Dostupný online </w:t>
      </w:r>
      <w:r w:rsidRPr="0012130E">
        <w:rPr>
          <w:rFonts w:ascii="Times New Roman" w:hAnsi="Times New Roman" w:cs="Times New Roman"/>
          <w:iCs/>
          <w:sz w:val="20"/>
          <w:szCs w:val="20"/>
        </w:rPr>
        <w:t>&lt;</w:t>
      </w:r>
      <w:r w:rsidRPr="002575E3">
        <w:rPr>
          <w:rFonts w:ascii="Times New Roman" w:hAnsi="Times New Roman" w:cs="Times New Roman"/>
          <w:iCs/>
          <w:sz w:val="20"/>
          <w:szCs w:val="20"/>
        </w:rPr>
        <w:t>http://www.jihoceskematky.cz/old/informations/uran_tezba.htm&gt;.</w:t>
      </w:r>
    </w:p>
    <w:p w:rsidR="00FC3F6B" w:rsidRDefault="00FC3F6B" w:rsidP="00FC3F6B">
      <w:pPr>
        <w:widowControl w:val="0"/>
        <w:spacing w:after="120" w:line="276" w:lineRule="auto"/>
        <w:jc w:val="both"/>
        <w:rPr>
          <w:rFonts w:ascii="Times New Roman" w:hAnsi="Times New Roman" w:cs="Times New Roman"/>
          <w:i/>
          <w:iCs/>
          <w:sz w:val="20"/>
          <w:szCs w:val="20"/>
        </w:rPr>
      </w:pPr>
      <w:r w:rsidRPr="002575E3">
        <w:rPr>
          <w:rFonts w:ascii="Times New Roman" w:hAnsi="Times New Roman" w:cs="Times New Roman"/>
          <w:i/>
          <w:iCs/>
          <w:sz w:val="20"/>
          <w:szCs w:val="20"/>
        </w:rPr>
        <w:t>Transport of Radioactive Materials</w:t>
      </w:r>
      <w:r>
        <w:rPr>
          <w:rFonts w:ascii="Times New Roman" w:hAnsi="Times New Roman" w:cs="Times New Roman"/>
          <w:i/>
          <w:iCs/>
          <w:sz w:val="20"/>
          <w:szCs w:val="20"/>
        </w:rPr>
        <w:t>,</w:t>
      </w:r>
      <w:r w:rsidRPr="002575E3">
        <w:rPr>
          <w:rFonts w:ascii="Times New Roman" w:hAnsi="Times New Roman" w:cs="Times New Roman"/>
          <w:iCs/>
          <w:sz w:val="20"/>
          <w:szCs w:val="20"/>
        </w:rPr>
        <w:t xml:space="preserve"> WNA </w:t>
      </w:r>
      <w:r w:rsidRPr="0012130E">
        <w:rPr>
          <w:rFonts w:ascii="Times New Roman" w:hAnsi="Times New Roman" w:cs="Times New Roman"/>
          <w:sz w:val="20"/>
          <w:szCs w:val="20"/>
        </w:rPr>
        <w:t xml:space="preserve">[cit. 20. července 2011]. Dostupný online </w:t>
      </w:r>
      <w:r w:rsidRPr="0012130E">
        <w:rPr>
          <w:rFonts w:ascii="Times New Roman" w:hAnsi="Times New Roman" w:cs="Times New Roman"/>
          <w:iCs/>
          <w:sz w:val="20"/>
          <w:szCs w:val="20"/>
        </w:rPr>
        <w:t>&lt;</w:t>
      </w:r>
      <w:r w:rsidRPr="002575E3">
        <w:rPr>
          <w:rFonts w:ascii="Times New Roman" w:hAnsi="Times New Roman" w:cs="Times New Roman"/>
          <w:iCs/>
          <w:sz w:val="20"/>
          <w:szCs w:val="20"/>
        </w:rPr>
        <w:t>http://www.world-nuclear.org/how/transport.html&gt;.</w:t>
      </w:r>
      <w:r w:rsidRPr="00FC3F6B">
        <w:rPr>
          <w:rFonts w:ascii="Times New Roman" w:hAnsi="Times New Roman" w:cs="Times New Roman"/>
          <w:i/>
          <w:iCs/>
          <w:sz w:val="20"/>
          <w:szCs w:val="20"/>
        </w:rPr>
        <w:t xml:space="preserve"> </w:t>
      </w:r>
    </w:p>
    <w:p w:rsidR="00FC3F6B" w:rsidRPr="002575E3" w:rsidRDefault="00FC3F6B" w:rsidP="00FC3F6B">
      <w:pPr>
        <w:widowControl w:val="0"/>
        <w:spacing w:after="120" w:line="276" w:lineRule="auto"/>
        <w:jc w:val="both"/>
        <w:rPr>
          <w:rFonts w:ascii="Times New Roman" w:hAnsi="Times New Roman" w:cs="Times New Roman"/>
          <w:iCs/>
          <w:sz w:val="20"/>
          <w:szCs w:val="20"/>
        </w:rPr>
      </w:pPr>
      <w:r w:rsidRPr="002575E3">
        <w:rPr>
          <w:rFonts w:ascii="Times New Roman" w:hAnsi="Times New Roman" w:cs="Times New Roman"/>
          <w:i/>
          <w:iCs/>
          <w:sz w:val="20"/>
          <w:szCs w:val="20"/>
        </w:rPr>
        <w:t xml:space="preserve">Uran (prvek), </w:t>
      </w:r>
      <w:r w:rsidRPr="002575E3">
        <w:rPr>
          <w:rFonts w:ascii="Times New Roman" w:hAnsi="Times New Roman" w:cs="Times New Roman"/>
          <w:iCs/>
          <w:sz w:val="20"/>
          <w:szCs w:val="20"/>
        </w:rPr>
        <w:t>W</w:t>
      </w:r>
      <w:r>
        <w:rPr>
          <w:rFonts w:ascii="Times New Roman" w:hAnsi="Times New Roman" w:cs="Times New Roman"/>
          <w:iCs/>
          <w:sz w:val="20"/>
          <w:szCs w:val="20"/>
        </w:rPr>
        <w:t xml:space="preserve">ikipedie, </w:t>
      </w:r>
      <w:r w:rsidRPr="002575E3">
        <w:rPr>
          <w:rFonts w:ascii="Times New Roman" w:hAnsi="Times New Roman" w:cs="Times New Roman"/>
          <w:iCs/>
          <w:sz w:val="20"/>
          <w:szCs w:val="20"/>
        </w:rPr>
        <w:t>2008</w:t>
      </w:r>
      <w:r>
        <w:rPr>
          <w:rFonts w:ascii="Times New Roman" w:hAnsi="Times New Roman" w:cs="Times New Roman"/>
          <w:iCs/>
          <w:sz w:val="20"/>
          <w:szCs w:val="20"/>
        </w:rPr>
        <w:t>.</w:t>
      </w:r>
      <w:r w:rsidRPr="002575E3">
        <w:rPr>
          <w:rFonts w:ascii="Times New Roman" w:hAnsi="Times New Roman" w:cs="Times New Roman"/>
          <w:iCs/>
          <w:sz w:val="20"/>
          <w:szCs w:val="20"/>
        </w:rPr>
        <w:t xml:space="preserve"> </w:t>
      </w:r>
      <w:r w:rsidRPr="0012130E">
        <w:rPr>
          <w:rFonts w:ascii="Times New Roman" w:hAnsi="Times New Roman" w:cs="Times New Roman"/>
          <w:sz w:val="20"/>
          <w:szCs w:val="20"/>
        </w:rPr>
        <w:t xml:space="preserve">[cit. 20. července 2011]. Dostupný online </w:t>
      </w:r>
      <w:r w:rsidRPr="0012130E">
        <w:rPr>
          <w:rFonts w:ascii="Times New Roman" w:hAnsi="Times New Roman" w:cs="Times New Roman"/>
          <w:iCs/>
          <w:sz w:val="20"/>
          <w:szCs w:val="20"/>
        </w:rPr>
        <w:t>&lt;</w:t>
      </w:r>
      <w:r w:rsidRPr="002575E3">
        <w:rPr>
          <w:rFonts w:ascii="Times New Roman" w:hAnsi="Times New Roman" w:cs="Times New Roman"/>
          <w:iCs/>
          <w:sz w:val="20"/>
          <w:szCs w:val="20"/>
        </w:rPr>
        <w:t>http://cs.wikipedia.org/wiki/Uran_(prvek)&gt;.</w:t>
      </w:r>
    </w:p>
    <w:p w:rsidR="00FC3F6B" w:rsidRPr="002575E3" w:rsidRDefault="00FC3F6B" w:rsidP="00FC3F6B">
      <w:pPr>
        <w:widowControl w:val="0"/>
        <w:spacing w:after="120" w:line="276" w:lineRule="auto"/>
        <w:jc w:val="both"/>
        <w:rPr>
          <w:rFonts w:ascii="Times New Roman" w:hAnsi="Times New Roman" w:cs="Times New Roman"/>
          <w:iCs/>
          <w:sz w:val="20"/>
          <w:szCs w:val="20"/>
        </w:rPr>
      </w:pPr>
      <w:r w:rsidRPr="002575E3">
        <w:rPr>
          <w:rFonts w:ascii="Times New Roman" w:hAnsi="Times New Roman" w:cs="Times New Roman"/>
          <w:i/>
          <w:iCs/>
          <w:sz w:val="20"/>
          <w:szCs w:val="20"/>
        </w:rPr>
        <w:t>Uranium Markets</w:t>
      </w:r>
      <w:r>
        <w:rPr>
          <w:rFonts w:ascii="Times New Roman" w:hAnsi="Times New Roman" w:cs="Times New Roman"/>
          <w:i/>
          <w:iCs/>
          <w:sz w:val="20"/>
          <w:szCs w:val="20"/>
        </w:rPr>
        <w:t>,</w:t>
      </w:r>
      <w:r w:rsidRPr="002575E3">
        <w:rPr>
          <w:rFonts w:ascii="Times New Roman" w:hAnsi="Times New Roman" w:cs="Times New Roman"/>
          <w:iCs/>
          <w:sz w:val="20"/>
          <w:szCs w:val="20"/>
        </w:rPr>
        <w:t xml:space="preserve"> WNA</w:t>
      </w:r>
      <w:r>
        <w:rPr>
          <w:rFonts w:ascii="Times New Roman" w:hAnsi="Times New Roman" w:cs="Times New Roman"/>
          <w:iCs/>
          <w:sz w:val="20"/>
          <w:szCs w:val="20"/>
        </w:rPr>
        <w:t>, 2008.</w:t>
      </w:r>
      <w:r w:rsidRPr="002575E3">
        <w:rPr>
          <w:rFonts w:ascii="Times New Roman" w:hAnsi="Times New Roman" w:cs="Times New Roman"/>
          <w:iCs/>
          <w:sz w:val="20"/>
          <w:szCs w:val="20"/>
        </w:rPr>
        <w:t xml:space="preserve"> </w:t>
      </w:r>
      <w:r w:rsidRPr="0012130E">
        <w:rPr>
          <w:rFonts w:ascii="Times New Roman" w:hAnsi="Times New Roman" w:cs="Times New Roman"/>
          <w:sz w:val="20"/>
          <w:szCs w:val="20"/>
        </w:rPr>
        <w:t xml:space="preserve">[cit. 20. července 2011]. Dostupný online </w:t>
      </w:r>
      <w:r w:rsidRPr="0012130E">
        <w:rPr>
          <w:rFonts w:ascii="Times New Roman" w:hAnsi="Times New Roman" w:cs="Times New Roman"/>
          <w:iCs/>
          <w:sz w:val="20"/>
          <w:szCs w:val="20"/>
        </w:rPr>
        <w:t>&lt;</w:t>
      </w:r>
      <w:r w:rsidRPr="002575E3">
        <w:rPr>
          <w:rFonts w:ascii="Times New Roman" w:hAnsi="Times New Roman" w:cs="Times New Roman"/>
          <w:iCs/>
          <w:sz w:val="20"/>
          <w:szCs w:val="20"/>
        </w:rPr>
        <w:t>http://www. world-</w:t>
      </w:r>
      <w:r w:rsidRPr="002575E3">
        <w:rPr>
          <w:rFonts w:ascii="Times New Roman" w:hAnsi="Times New Roman" w:cs="Times New Roman"/>
          <w:iCs/>
          <w:sz w:val="20"/>
          <w:szCs w:val="20"/>
        </w:rPr>
        <w:lastRenderedPageBreak/>
        <w:t>nuclear.org/info/inf22.html&gt;.</w:t>
      </w:r>
    </w:p>
    <w:p w:rsidR="00FC3F6B" w:rsidRPr="002575E3" w:rsidRDefault="00FC3F6B" w:rsidP="00FC3F6B">
      <w:pPr>
        <w:widowControl w:val="0"/>
        <w:spacing w:after="120" w:line="276" w:lineRule="auto"/>
        <w:jc w:val="both"/>
        <w:rPr>
          <w:rFonts w:ascii="Times New Roman" w:hAnsi="Times New Roman" w:cs="Times New Roman"/>
          <w:iCs/>
          <w:sz w:val="20"/>
          <w:szCs w:val="20"/>
        </w:rPr>
      </w:pPr>
      <w:r w:rsidRPr="002575E3">
        <w:rPr>
          <w:rFonts w:ascii="Times New Roman" w:hAnsi="Times New Roman" w:cs="Times New Roman"/>
          <w:i/>
          <w:iCs/>
          <w:sz w:val="20"/>
          <w:szCs w:val="20"/>
        </w:rPr>
        <w:t>Uranium World</w:t>
      </w:r>
      <w:r>
        <w:rPr>
          <w:rFonts w:ascii="Times New Roman" w:hAnsi="Times New Roman" w:cs="Times New Roman"/>
          <w:i/>
          <w:iCs/>
          <w:sz w:val="20"/>
          <w:szCs w:val="20"/>
        </w:rPr>
        <w:t>,</w:t>
      </w:r>
      <w:r w:rsidRPr="002575E3">
        <w:rPr>
          <w:rFonts w:ascii="Times New Roman" w:hAnsi="Times New Roman" w:cs="Times New Roman"/>
          <w:iCs/>
          <w:sz w:val="20"/>
          <w:szCs w:val="20"/>
        </w:rPr>
        <w:t xml:space="preserve"> WNA</w:t>
      </w:r>
      <w:r>
        <w:rPr>
          <w:rFonts w:ascii="Times New Roman" w:hAnsi="Times New Roman" w:cs="Times New Roman"/>
          <w:iCs/>
          <w:sz w:val="20"/>
          <w:szCs w:val="20"/>
        </w:rPr>
        <w:t xml:space="preserve">, </w:t>
      </w:r>
      <w:r w:rsidRPr="002575E3">
        <w:rPr>
          <w:rFonts w:ascii="Times New Roman" w:hAnsi="Times New Roman" w:cs="Times New Roman"/>
          <w:iCs/>
          <w:sz w:val="20"/>
          <w:szCs w:val="20"/>
        </w:rPr>
        <w:t>2007</w:t>
      </w:r>
      <w:r>
        <w:rPr>
          <w:rFonts w:ascii="Times New Roman" w:hAnsi="Times New Roman" w:cs="Times New Roman"/>
          <w:iCs/>
          <w:sz w:val="20"/>
          <w:szCs w:val="20"/>
        </w:rPr>
        <w:t>.</w:t>
      </w:r>
      <w:r w:rsidRPr="002575E3">
        <w:rPr>
          <w:rFonts w:ascii="Times New Roman" w:hAnsi="Times New Roman" w:cs="Times New Roman"/>
          <w:iCs/>
          <w:sz w:val="20"/>
          <w:szCs w:val="20"/>
        </w:rPr>
        <w:t xml:space="preserve"> </w:t>
      </w:r>
      <w:r w:rsidRPr="0012130E">
        <w:rPr>
          <w:rFonts w:ascii="Times New Roman" w:hAnsi="Times New Roman" w:cs="Times New Roman"/>
          <w:sz w:val="20"/>
          <w:szCs w:val="20"/>
        </w:rPr>
        <w:t xml:space="preserve">[cit. 20. července 2011]. Dostupný online </w:t>
      </w:r>
      <w:r w:rsidRPr="0012130E">
        <w:rPr>
          <w:rFonts w:ascii="Times New Roman" w:hAnsi="Times New Roman" w:cs="Times New Roman"/>
          <w:iCs/>
          <w:sz w:val="20"/>
          <w:szCs w:val="20"/>
        </w:rPr>
        <w:t>&lt;</w:t>
      </w:r>
      <w:r w:rsidRPr="002575E3">
        <w:rPr>
          <w:rFonts w:ascii="Times New Roman" w:hAnsi="Times New Roman" w:cs="Times New Roman"/>
          <w:iCs/>
          <w:sz w:val="20"/>
          <w:szCs w:val="20"/>
        </w:rPr>
        <w:t>http://www. uraniumworld.org/uranium_outline.htm&gt;.</w:t>
      </w:r>
    </w:p>
    <w:p w:rsidR="00FC3F6B" w:rsidRPr="002575E3" w:rsidRDefault="00FC3F6B" w:rsidP="00FC3F6B">
      <w:pPr>
        <w:widowControl w:val="0"/>
        <w:spacing w:after="120" w:line="276" w:lineRule="auto"/>
        <w:jc w:val="both"/>
        <w:rPr>
          <w:rFonts w:ascii="Times New Roman" w:hAnsi="Times New Roman" w:cs="Times New Roman"/>
          <w:iCs/>
          <w:sz w:val="20"/>
          <w:szCs w:val="20"/>
        </w:rPr>
      </w:pPr>
      <w:r w:rsidRPr="00FC3F6B">
        <w:rPr>
          <w:rFonts w:ascii="Times New Roman" w:hAnsi="Times New Roman" w:cs="Times New Roman"/>
          <w:i/>
          <w:iCs/>
          <w:sz w:val="20"/>
          <w:szCs w:val="20"/>
        </w:rPr>
        <w:t>World Nuclear Power Reactors 2006-08 and Uranium Requirements 2008</w:t>
      </w:r>
      <w:r w:rsidRPr="002575E3">
        <w:rPr>
          <w:rFonts w:ascii="Times New Roman" w:hAnsi="Times New Roman" w:cs="Times New Roman"/>
          <w:iCs/>
          <w:sz w:val="20"/>
          <w:szCs w:val="20"/>
        </w:rPr>
        <w:t>. UIC</w:t>
      </w:r>
      <w:r>
        <w:rPr>
          <w:rFonts w:ascii="Times New Roman" w:hAnsi="Times New Roman" w:cs="Times New Roman"/>
          <w:iCs/>
          <w:sz w:val="20"/>
          <w:szCs w:val="20"/>
        </w:rPr>
        <w:t>,</w:t>
      </w:r>
      <w:r w:rsidRPr="002575E3">
        <w:rPr>
          <w:rFonts w:ascii="Times New Roman" w:hAnsi="Times New Roman" w:cs="Times New Roman"/>
          <w:iCs/>
          <w:sz w:val="20"/>
          <w:szCs w:val="20"/>
        </w:rPr>
        <w:t xml:space="preserve"> 2008</w:t>
      </w:r>
      <w:r w:rsidRPr="0012130E">
        <w:rPr>
          <w:rFonts w:ascii="Times New Roman" w:hAnsi="Times New Roman" w:cs="Times New Roman"/>
          <w:sz w:val="20"/>
          <w:szCs w:val="20"/>
        </w:rPr>
        <w:t xml:space="preserve">[cit. 20. července 2011]. Dostupný online </w:t>
      </w:r>
      <w:r w:rsidRPr="0012130E">
        <w:rPr>
          <w:rFonts w:ascii="Times New Roman" w:hAnsi="Times New Roman" w:cs="Times New Roman"/>
          <w:iCs/>
          <w:sz w:val="20"/>
          <w:szCs w:val="20"/>
        </w:rPr>
        <w:t>&lt;</w:t>
      </w:r>
      <w:r w:rsidRPr="002575E3">
        <w:rPr>
          <w:rFonts w:ascii="Times New Roman" w:hAnsi="Times New Roman" w:cs="Times New Roman"/>
          <w:iCs/>
          <w:sz w:val="20"/>
          <w:szCs w:val="20"/>
        </w:rPr>
        <w:t>http://www.uic.com.au/reactors.htm&gt;.</w:t>
      </w:r>
    </w:p>
    <w:p w:rsidR="00FC3F6B" w:rsidRPr="002575E3" w:rsidRDefault="00FC3F6B" w:rsidP="00FC3F6B">
      <w:pPr>
        <w:widowControl w:val="0"/>
        <w:spacing w:after="120" w:line="276" w:lineRule="auto"/>
        <w:jc w:val="both"/>
        <w:rPr>
          <w:rFonts w:ascii="Times New Roman" w:hAnsi="Times New Roman" w:cs="Times New Roman"/>
          <w:iCs/>
          <w:sz w:val="20"/>
          <w:szCs w:val="20"/>
        </w:rPr>
      </w:pPr>
      <w:r w:rsidRPr="002575E3">
        <w:rPr>
          <w:rFonts w:ascii="Times New Roman" w:hAnsi="Times New Roman" w:cs="Times New Roman"/>
          <w:i/>
          <w:iCs/>
          <w:sz w:val="20"/>
          <w:szCs w:val="20"/>
        </w:rPr>
        <w:t>World Uranium Mining</w:t>
      </w:r>
      <w:r>
        <w:rPr>
          <w:rFonts w:ascii="Times New Roman" w:hAnsi="Times New Roman" w:cs="Times New Roman"/>
          <w:i/>
          <w:iCs/>
          <w:sz w:val="20"/>
          <w:szCs w:val="20"/>
        </w:rPr>
        <w:t>,</w:t>
      </w:r>
      <w:r w:rsidRPr="002575E3">
        <w:rPr>
          <w:rFonts w:ascii="Times New Roman" w:hAnsi="Times New Roman" w:cs="Times New Roman"/>
          <w:iCs/>
          <w:sz w:val="20"/>
          <w:szCs w:val="20"/>
        </w:rPr>
        <w:t xml:space="preserve"> WNA</w:t>
      </w:r>
      <w:r>
        <w:rPr>
          <w:rFonts w:ascii="Times New Roman" w:hAnsi="Times New Roman" w:cs="Times New Roman"/>
          <w:iCs/>
          <w:sz w:val="20"/>
          <w:szCs w:val="20"/>
        </w:rPr>
        <w:t>,</w:t>
      </w:r>
      <w:r w:rsidRPr="002575E3">
        <w:rPr>
          <w:rFonts w:ascii="Times New Roman" w:hAnsi="Times New Roman" w:cs="Times New Roman"/>
          <w:iCs/>
          <w:sz w:val="20"/>
          <w:szCs w:val="20"/>
        </w:rPr>
        <w:t xml:space="preserve"> 2007</w:t>
      </w:r>
      <w:r>
        <w:rPr>
          <w:rFonts w:ascii="Times New Roman" w:hAnsi="Times New Roman" w:cs="Times New Roman"/>
          <w:iCs/>
          <w:sz w:val="20"/>
          <w:szCs w:val="20"/>
        </w:rPr>
        <w:t>.</w:t>
      </w:r>
      <w:r w:rsidRPr="002575E3">
        <w:rPr>
          <w:rFonts w:ascii="Times New Roman" w:hAnsi="Times New Roman" w:cs="Times New Roman"/>
          <w:iCs/>
          <w:sz w:val="20"/>
          <w:szCs w:val="20"/>
        </w:rPr>
        <w:t xml:space="preserve"> </w:t>
      </w:r>
      <w:r w:rsidRPr="0012130E">
        <w:rPr>
          <w:rFonts w:ascii="Times New Roman" w:hAnsi="Times New Roman" w:cs="Times New Roman"/>
          <w:sz w:val="20"/>
          <w:szCs w:val="20"/>
        </w:rPr>
        <w:t xml:space="preserve">[cit. 20. července 2011]. Dostupný online </w:t>
      </w:r>
      <w:r w:rsidRPr="0012130E">
        <w:rPr>
          <w:rFonts w:ascii="Times New Roman" w:hAnsi="Times New Roman" w:cs="Times New Roman"/>
          <w:iCs/>
          <w:sz w:val="20"/>
          <w:szCs w:val="20"/>
        </w:rPr>
        <w:t>&lt;</w:t>
      </w:r>
      <w:r w:rsidRPr="002575E3">
        <w:rPr>
          <w:rFonts w:ascii="Times New Roman" w:hAnsi="Times New Roman" w:cs="Times New Roman"/>
          <w:iCs/>
          <w:sz w:val="20"/>
          <w:szCs w:val="20"/>
        </w:rPr>
        <w:t xml:space="preserve">http://www.world-nuclear.org/info/inf23.html&gt;. </w:t>
      </w:r>
    </w:p>
    <w:p w:rsidR="00DF128A" w:rsidRPr="002575E3" w:rsidRDefault="00DF128A" w:rsidP="002575E3">
      <w:pPr>
        <w:widowControl w:val="0"/>
        <w:spacing w:after="120" w:line="276" w:lineRule="auto"/>
        <w:jc w:val="both"/>
        <w:rPr>
          <w:rFonts w:ascii="Times New Roman" w:hAnsi="Times New Roman" w:cs="Times New Roman"/>
          <w:iCs/>
          <w:sz w:val="20"/>
          <w:szCs w:val="20"/>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br w:type="page"/>
      </w:r>
    </w:p>
    <w:p w:rsidR="00622CAB" w:rsidRPr="00DF128A" w:rsidRDefault="00FC3F6B" w:rsidP="00622CAB">
      <w:pPr>
        <w:pStyle w:val="Bezmezer"/>
        <w:widowControl w:val="0"/>
        <w:spacing w:line="276" w:lineRule="auto"/>
        <w:jc w:val="center"/>
        <w:rPr>
          <w:sz w:val="24"/>
          <w:szCs w:val="24"/>
        </w:rPr>
      </w:pPr>
      <w:r>
        <w:rPr>
          <w:sz w:val="24"/>
          <w:szCs w:val="24"/>
        </w:rPr>
        <w:lastRenderedPageBreak/>
        <w:t xml:space="preserve">fsc: </w:t>
      </w:r>
      <w:r w:rsidR="00622CAB" w:rsidRPr="00DF128A">
        <w:rPr>
          <w:sz w:val="24"/>
          <w:szCs w:val="24"/>
        </w:rPr>
        <w:t>F</w:t>
      </w:r>
      <w:r>
        <w:rPr>
          <w:sz w:val="24"/>
          <w:szCs w:val="24"/>
        </w:rPr>
        <w:t xml:space="preserve">OREST </w:t>
      </w:r>
      <w:r w:rsidR="00622CAB" w:rsidRPr="00DF128A">
        <w:rPr>
          <w:sz w:val="24"/>
          <w:szCs w:val="24"/>
        </w:rPr>
        <w:t>S</w:t>
      </w:r>
      <w:r>
        <w:rPr>
          <w:sz w:val="24"/>
          <w:szCs w:val="24"/>
        </w:rPr>
        <w:t xml:space="preserve">TEWARDSHIP </w:t>
      </w:r>
      <w:r w:rsidR="00622CAB" w:rsidRPr="00DF128A">
        <w:rPr>
          <w:sz w:val="24"/>
          <w:szCs w:val="24"/>
        </w:rPr>
        <w:t>C</w:t>
      </w:r>
      <w:r>
        <w:rPr>
          <w:sz w:val="24"/>
          <w:szCs w:val="24"/>
        </w:rPr>
        <w:t>OUNCIL</w:t>
      </w:r>
    </w:p>
    <w:p w:rsidR="00DF128A" w:rsidRPr="00DF128A" w:rsidRDefault="00DF128A" w:rsidP="00622CAB">
      <w:pPr>
        <w:widowControl w:val="0"/>
        <w:spacing w:line="276" w:lineRule="auto"/>
        <w:ind w:firstLine="709"/>
        <w:jc w:val="center"/>
        <w:rPr>
          <w:rFonts w:ascii="Times New Roman" w:hAnsi="Times New Roman" w:cs="Times New Roman"/>
          <w:b/>
          <w:sz w:val="24"/>
          <w:szCs w:val="24"/>
          <w:u w:val="single"/>
        </w:rPr>
      </w:pPr>
    </w:p>
    <w:p w:rsidR="00DF128A" w:rsidRPr="00622CAB" w:rsidRDefault="00DF128A" w:rsidP="00622CAB">
      <w:pPr>
        <w:widowControl w:val="0"/>
        <w:spacing w:line="276" w:lineRule="auto"/>
        <w:jc w:val="center"/>
        <w:rPr>
          <w:rFonts w:ascii="Times New Roman" w:hAnsi="Times New Roman" w:cs="Times New Roman"/>
          <w:i/>
          <w:sz w:val="24"/>
          <w:szCs w:val="24"/>
        </w:rPr>
      </w:pPr>
      <w:r w:rsidRPr="00622CAB">
        <w:rPr>
          <w:rFonts w:ascii="Times New Roman" w:hAnsi="Times New Roman" w:cs="Times New Roman"/>
          <w:i/>
          <w:sz w:val="24"/>
          <w:szCs w:val="24"/>
        </w:rPr>
        <w:t>Lenka Hromková</w:t>
      </w:r>
    </w:p>
    <w:p w:rsidR="00DF128A" w:rsidRPr="00DF128A" w:rsidRDefault="00DF128A" w:rsidP="00DF128A">
      <w:pPr>
        <w:pStyle w:val="Bezmezer"/>
        <w:widowControl w:val="0"/>
        <w:spacing w:line="276" w:lineRule="auto"/>
        <w:ind w:firstLine="709"/>
        <w:rPr>
          <w:sz w:val="24"/>
          <w:szCs w:val="24"/>
        </w:rPr>
      </w:pPr>
    </w:p>
    <w:p w:rsidR="00DF128A" w:rsidRPr="00E20A69" w:rsidRDefault="00DF128A" w:rsidP="00E20A69">
      <w:pPr>
        <w:rPr>
          <w:rFonts w:ascii="Times New Roman" w:hAnsi="Times New Roman" w:cs="Times New Roman"/>
          <w:b/>
          <w:sz w:val="24"/>
          <w:szCs w:val="24"/>
        </w:rPr>
      </w:pPr>
      <w:bookmarkStart w:id="54" w:name="_Toc288999833"/>
      <w:bookmarkStart w:id="55" w:name="_Toc289000300"/>
      <w:r w:rsidRPr="00E20A69">
        <w:rPr>
          <w:rFonts w:ascii="Times New Roman" w:hAnsi="Times New Roman" w:cs="Times New Roman"/>
          <w:b/>
          <w:sz w:val="24"/>
          <w:szCs w:val="24"/>
        </w:rPr>
        <w:t>Úvod a cíl práce</w:t>
      </w:r>
      <w:bookmarkEnd w:id="54"/>
      <w:bookmarkEnd w:id="55"/>
    </w:p>
    <w:p w:rsidR="00DF128A" w:rsidRPr="00DF128A" w:rsidRDefault="00FC3F6B" w:rsidP="00DF128A">
      <w:pPr>
        <w:widowControl w:val="0"/>
        <w:adjustRightInd w:val="0"/>
        <w:spacing w:line="276" w:lineRule="auto"/>
        <w:ind w:firstLine="709"/>
        <w:jc w:val="both"/>
        <w:rPr>
          <w:rFonts w:ascii="Times New Roman" w:hAnsi="Times New Roman" w:cs="Times New Roman"/>
          <w:color w:val="231F20"/>
          <w:sz w:val="24"/>
          <w:szCs w:val="24"/>
        </w:rPr>
      </w:pPr>
      <w:r>
        <w:rPr>
          <w:rFonts w:ascii="Times New Roman" w:hAnsi="Times New Roman" w:cs="Times New Roman"/>
          <w:sz w:val="24"/>
          <w:szCs w:val="24"/>
        </w:rPr>
        <w:t>Předmětem tohoto příspěvku je F</w:t>
      </w:r>
      <w:r w:rsidR="00DF128A" w:rsidRPr="00DF128A">
        <w:rPr>
          <w:rFonts w:ascii="Times New Roman" w:hAnsi="Times New Roman" w:cs="Times New Roman"/>
          <w:sz w:val="24"/>
          <w:szCs w:val="24"/>
        </w:rPr>
        <w:t xml:space="preserve">SC (Forest </w:t>
      </w:r>
      <w:r w:rsidR="00DF128A" w:rsidRPr="00DF128A">
        <w:rPr>
          <w:rFonts w:ascii="Times New Roman" w:hAnsi="Times New Roman" w:cs="Times New Roman"/>
          <w:bCs/>
          <w:sz w:val="24"/>
          <w:szCs w:val="24"/>
        </w:rPr>
        <w:t xml:space="preserve">Stewardship Council), </w:t>
      </w:r>
      <w:r>
        <w:rPr>
          <w:rFonts w:ascii="Times New Roman" w:hAnsi="Times New Roman" w:cs="Times New Roman"/>
          <w:bCs/>
          <w:sz w:val="24"/>
          <w:szCs w:val="24"/>
        </w:rPr>
        <w:t>který</w:t>
      </w:r>
      <w:r w:rsidR="00DF128A" w:rsidRPr="00DF128A">
        <w:rPr>
          <w:rFonts w:ascii="Times New Roman" w:hAnsi="Times New Roman" w:cs="Times New Roman"/>
          <w:bCs/>
          <w:sz w:val="24"/>
          <w:szCs w:val="24"/>
        </w:rPr>
        <w:t xml:space="preserve"> svým certifikačním systémem bojuje proti nešetrnému kácení lesů a nelegální těžbě dřeva. Certifikace FSC zaručuje, že dřevo </w:t>
      </w:r>
      <w:r w:rsidR="00DF128A" w:rsidRPr="00DF128A">
        <w:rPr>
          <w:rFonts w:ascii="Times New Roman" w:hAnsi="Times New Roman" w:cs="Times New Roman"/>
          <w:color w:val="231F20"/>
          <w:sz w:val="24"/>
          <w:szCs w:val="24"/>
        </w:rPr>
        <w:t>bylo vytěženo legálním a šetrným způsobem při dodržení mezinárodních sociálních a environmentálních zásad, a tak bojuje proti nelegálně těženému dřevu. Nejvíce jsou postiženy nelegální těžbou dřeva tropické deštné lesy, ve kterých dochází k rozsáhlému úbytku jejich plochy. Výrazné zmenšování plochy tropických deštných lesů je globálním problémem, proto se budu v části seminární práce věnovat tropickým deštným lesům z pohledu této problematiky.</w:t>
      </w:r>
    </w:p>
    <w:p w:rsidR="00DF128A" w:rsidRPr="00DF128A" w:rsidRDefault="00DF128A" w:rsidP="00DF128A">
      <w:pPr>
        <w:widowControl w:val="0"/>
        <w:adjustRightInd w:val="0"/>
        <w:spacing w:line="276" w:lineRule="auto"/>
        <w:ind w:firstLine="709"/>
        <w:jc w:val="both"/>
        <w:rPr>
          <w:rFonts w:ascii="Times New Roman" w:hAnsi="Times New Roman" w:cs="Times New Roman"/>
          <w:color w:val="231F20"/>
          <w:sz w:val="24"/>
          <w:szCs w:val="24"/>
        </w:rPr>
      </w:pPr>
      <w:r w:rsidRPr="00DF128A">
        <w:rPr>
          <w:rFonts w:ascii="Times New Roman" w:hAnsi="Times New Roman" w:cs="Times New Roman"/>
          <w:color w:val="231F20"/>
          <w:sz w:val="24"/>
          <w:szCs w:val="24"/>
        </w:rPr>
        <w:t>Cílem seminární práce je detailnější pohled na organizaci FSC (charakteristika organizace, principy a kritéria certifikace, výrobky) a také definování globálních problémů a jejich dopadů spojených se značným úbytkem tropických deštných lesů.</w:t>
      </w:r>
    </w:p>
    <w:p w:rsidR="00DF128A" w:rsidRPr="00DF128A" w:rsidRDefault="00DF128A" w:rsidP="00DF128A">
      <w:pPr>
        <w:widowControl w:val="0"/>
        <w:adjustRightInd w:val="0"/>
        <w:spacing w:line="276" w:lineRule="auto"/>
        <w:ind w:firstLine="709"/>
        <w:jc w:val="both"/>
        <w:rPr>
          <w:rFonts w:ascii="Times New Roman" w:hAnsi="Times New Roman" w:cs="Times New Roman"/>
          <w:color w:val="231F20"/>
          <w:sz w:val="24"/>
          <w:szCs w:val="24"/>
        </w:rPr>
      </w:pPr>
    </w:p>
    <w:p w:rsidR="00DF128A" w:rsidRPr="00E20A69" w:rsidRDefault="00DF128A" w:rsidP="00E20A69">
      <w:pPr>
        <w:rPr>
          <w:rFonts w:ascii="Times New Roman" w:hAnsi="Times New Roman" w:cs="Times New Roman"/>
          <w:b/>
          <w:sz w:val="24"/>
          <w:szCs w:val="24"/>
        </w:rPr>
      </w:pPr>
      <w:bookmarkStart w:id="56" w:name="_Toc288999834"/>
      <w:bookmarkStart w:id="57" w:name="_Toc289000301"/>
      <w:r w:rsidRPr="00E20A69">
        <w:rPr>
          <w:rFonts w:ascii="Times New Roman" w:hAnsi="Times New Roman" w:cs="Times New Roman"/>
          <w:b/>
          <w:sz w:val="24"/>
          <w:szCs w:val="24"/>
        </w:rPr>
        <w:t>Charakteristika FSC</w:t>
      </w:r>
      <w:bookmarkEnd w:id="56"/>
      <w:bookmarkEnd w:id="57"/>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Style w:val="Siln"/>
          <w:rFonts w:ascii="Times New Roman" w:hAnsi="Times New Roman" w:cs="Times New Roman"/>
          <w:b w:val="0"/>
          <w:sz w:val="24"/>
          <w:szCs w:val="24"/>
        </w:rPr>
        <w:t xml:space="preserve">Forest Stewardship Council (FSC) je </w:t>
      </w:r>
      <w:r w:rsidRPr="00DF128A">
        <w:rPr>
          <w:rFonts w:ascii="Times New Roman" w:hAnsi="Times New Roman" w:cs="Times New Roman"/>
          <w:sz w:val="24"/>
          <w:szCs w:val="24"/>
        </w:rPr>
        <w:t>nevládní nezisková organizace, která vznikla v roce 1993 z iniciativy zástupců mezinárodních ekologických organizací, velkoobchodníků a maloobchodníků se dřevem, lesníků, dřevozpracujícího průmyslu, sdružení domorodých obyvatel, odborů a certifikačních organizací z celého světa.</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Základní myšlenkou je podporování ekologicky šetrného, sociálně prospěšného a ekonomicky životaschopného obhospodařování lesů, což pomáhá chránit ohrožené a devastované světové lesy. FSC vytvořila prestižní mezinárodní systém certifikace lesů a podniků, které dřevo z certifikovaných lesů zpracovávají ve výrobky. Logo FSC na výrobku znamená záruku, že jeho nákupem je podpořeno lesní hospodaření šetrné k přírodě a místním obyvatelům </w:t>
      </w:r>
      <w:r w:rsidR="00CD0081">
        <w:rPr>
          <w:rFonts w:ascii="Times New Roman" w:hAnsi="Times New Roman" w:cs="Times New Roman"/>
          <w:sz w:val="24"/>
          <w:szCs w:val="24"/>
        </w:rPr>
        <w:t>(</w:t>
      </w:r>
      <w:r w:rsidRPr="00DF128A">
        <w:rPr>
          <w:rFonts w:ascii="Times New Roman" w:hAnsi="Times New Roman" w:cs="Times New Roman"/>
          <w:sz w:val="24"/>
          <w:szCs w:val="24"/>
        </w:rPr>
        <w:t>FSC ČR 2009</w:t>
      </w:r>
      <w:r w:rsidR="00CD0081">
        <w:rPr>
          <w:rFonts w:ascii="Times New Roman" w:hAnsi="Times New Roman" w:cs="Times New Roman"/>
          <w:sz w:val="24"/>
          <w:szCs w:val="24"/>
        </w:rPr>
        <w:t>)</w:t>
      </w:r>
      <w:r w:rsidRPr="00DF128A">
        <w:rPr>
          <w:rFonts w:ascii="Times New Roman" w:hAnsi="Times New Roman" w:cs="Times New Roman"/>
          <w:sz w:val="24"/>
          <w:szCs w:val="24"/>
        </w:rPr>
        <w:t>.</w:t>
      </w:r>
    </w:p>
    <w:p w:rsidR="00DF128A" w:rsidRPr="00DF128A" w:rsidRDefault="00DF128A" w:rsidP="00DF128A">
      <w:pPr>
        <w:widowControl w:val="0"/>
        <w:spacing w:line="276" w:lineRule="auto"/>
        <w:ind w:firstLine="709"/>
        <w:jc w:val="both"/>
        <w:rPr>
          <w:rFonts w:ascii="Times New Roman" w:hAnsi="Times New Roman" w:cs="Times New Roman"/>
          <w:sz w:val="24"/>
          <w:szCs w:val="24"/>
          <w:lang w:eastAsia="cs-CZ"/>
        </w:rPr>
      </w:pPr>
      <w:r w:rsidRPr="00DF128A">
        <w:rPr>
          <w:rFonts w:ascii="Times New Roman" w:hAnsi="Times New Roman" w:cs="Times New Roman"/>
          <w:sz w:val="24"/>
          <w:szCs w:val="24"/>
          <w:lang w:eastAsia="cs-CZ"/>
        </w:rPr>
        <w:t xml:space="preserve">Struktura organizace FSC odráží základní principy Agendy 21, což je </w:t>
      </w:r>
      <w:r w:rsidRPr="00DF128A">
        <w:rPr>
          <w:rFonts w:ascii="Times New Roman" w:hAnsi="Times New Roman" w:cs="Times New Roman"/>
          <w:sz w:val="24"/>
          <w:szCs w:val="24"/>
        </w:rPr>
        <w:t xml:space="preserve">rozsáhlý dokument z Mezinárodní konference o životním prostředí a rozvoji v Rio de Janeiro z roku 1992, který se stal strategickým plánem rozvoje společnosti na prahu třetího tisíciletí. Dokument určil hlavní směry omezení negativních projevů naší civilizace v různých oblastech </w:t>
      </w:r>
      <w:r w:rsidR="00CD0081">
        <w:rPr>
          <w:rFonts w:ascii="Times New Roman" w:hAnsi="Times New Roman" w:cs="Times New Roman"/>
          <w:sz w:val="24"/>
          <w:szCs w:val="24"/>
        </w:rPr>
        <w:t>(</w:t>
      </w:r>
      <w:r w:rsidRPr="00DF128A">
        <w:rPr>
          <w:rFonts w:ascii="Times New Roman" w:hAnsi="Times New Roman" w:cs="Times New Roman"/>
          <w:sz w:val="24"/>
          <w:szCs w:val="24"/>
        </w:rPr>
        <w:t>A</w:t>
      </w:r>
      <w:r w:rsidR="00CD0081">
        <w:rPr>
          <w:rFonts w:ascii="Times New Roman" w:hAnsi="Times New Roman" w:cs="Times New Roman"/>
          <w:sz w:val="24"/>
          <w:szCs w:val="24"/>
        </w:rPr>
        <w:t>genda</w:t>
      </w:r>
      <w:r w:rsidRPr="00DF128A">
        <w:rPr>
          <w:rFonts w:ascii="Times New Roman" w:hAnsi="Times New Roman" w:cs="Times New Roman"/>
          <w:sz w:val="24"/>
          <w:szCs w:val="24"/>
        </w:rPr>
        <w:t xml:space="preserve"> 21 2002</w:t>
      </w:r>
      <w:r w:rsidR="00CD0081">
        <w:rPr>
          <w:rFonts w:ascii="Times New Roman" w:hAnsi="Times New Roman" w:cs="Times New Roman"/>
          <w:sz w:val="24"/>
          <w:szCs w:val="24"/>
        </w:rPr>
        <w:t>)</w:t>
      </w:r>
      <w:r w:rsidRPr="00DF128A">
        <w:rPr>
          <w:rFonts w:ascii="Times New Roman" w:hAnsi="Times New Roman" w:cs="Times New Roman"/>
          <w:sz w:val="24"/>
          <w:szCs w:val="24"/>
        </w:rPr>
        <w:t>.</w:t>
      </w:r>
    </w:p>
    <w:p w:rsidR="00DF128A" w:rsidRPr="00DF128A" w:rsidRDefault="00DF128A" w:rsidP="00DF128A">
      <w:pPr>
        <w:widowControl w:val="0"/>
        <w:spacing w:line="276" w:lineRule="auto"/>
        <w:ind w:firstLine="709"/>
        <w:jc w:val="both"/>
        <w:rPr>
          <w:rFonts w:ascii="Times New Roman" w:hAnsi="Times New Roman" w:cs="Times New Roman"/>
          <w:sz w:val="24"/>
          <w:szCs w:val="24"/>
          <w:lang w:eastAsia="cs-CZ"/>
        </w:rPr>
      </w:pPr>
      <w:r w:rsidRPr="00DF128A">
        <w:rPr>
          <w:rFonts w:ascii="Times New Roman" w:hAnsi="Times New Roman" w:cs="Times New Roman"/>
          <w:sz w:val="24"/>
          <w:szCs w:val="24"/>
          <w:lang w:eastAsia="cs-CZ"/>
        </w:rPr>
        <w:t>Hospodářské, ekologické a sociální požadavky jsou reprezentovány vyrovnaným způsobem, aby se navzájem podporovaly a nekonkurovaly si. FSC klade důraz rovněž na vyrovnaný poměr mezi členy z bohatých a rozvojových zemí.</w:t>
      </w:r>
    </w:p>
    <w:p w:rsidR="00DF128A" w:rsidRPr="00DF128A" w:rsidRDefault="00DF128A" w:rsidP="00DF128A">
      <w:pPr>
        <w:widowControl w:val="0"/>
        <w:spacing w:line="276" w:lineRule="auto"/>
        <w:ind w:firstLine="709"/>
        <w:jc w:val="both"/>
        <w:rPr>
          <w:rFonts w:ascii="Times New Roman" w:hAnsi="Times New Roman" w:cs="Times New Roman"/>
          <w:sz w:val="24"/>
          <w:szCs w:val="24"/>
          <w:lang w:eastAsia="cs-CZ"/>
        </w:rPr>
      </w:pPr>
      <w:r w:rsidRPr="00DF128A">
        <w:rPr>
          <w:rFonts w:ascii="Times New Roman" w:hAnsi="Times New Roman" w:cs="Times New Roman"/>
          <w:sz w:val="24"/>
          <w:szCs w:val="24"/>
          <w:lang w:eastAsia="cs-CZ"/>
        </w:rPr>
        <w:t xml:space="preserve">Činnost FSC financují dobročinné organizace, další prostředky jsou získávány z vládních darů a členských a akreditačních příspěvků. Aby si organizace zachovala nezávislost, nepřijímá hlavní kancelář FSC peníze od průmyslových podniků </w:t>
      </w:r>
      <w:r w:rsidR="00CD0081">
        <w:rPr>
          <w:rFonts w:ascii="Times New Roman" w:hAnsi="Times New Roman" w:cs="Times New Roman"/>
          <w:sz w:val="24"/>
          <w:szCs w:val="24"/>
        </w:rPr>
        <w:t>(</w:t>
      </w:r>
      <w:r w:rsidRPr="00DF128A">
        <w:rPr>
          <w:rFonts w:ascii="Times New Roman" w:hAnsi="Times New Roman" w:cs="Times New Roman"/>
          <w:sz w:val="24"/>
          <w:szCs w:val="24"/>
        </w:rPr>
        <w:t>FSC ČR, 2009</w:t>
      </w:r>
      <w:r w:rsidR="00CD0081">
        <w:rPr>
          <w:rFonts w:ascii="Times New Roman" w:hAnsi="Times New Roman" w:cs="Times New Roman"/>
          <w:sz w:val="24"/>
          <w:szCs w:val="24"/>
        </w:rPr>
        <w:t>)</w:t>
      </w:r>
      <w:r w:rsidRPr="00DF128A">
        <w:rPr>
          <w:rFonts w:ascii="Times New Roman" w:hAnsi="Times New Roman" w:cs="Times New Roman"/>
          <w:sz w:val="24"/>
          <w:szCs w:val="24"/>
          <w:lang w:eastAsia="cs-CZ"/>
        </w:rPr>
        <w:t>.</w:t>
      </w:r>
    </w:p>
    <w:p w:rsidR="00622CAB" w:rsidRDefault="00622CAB" w:rsidP="00622CAB">
      <w:pPr>
        <w:pStyle w:val="Podtitul"/>
        <w:widowControl w:val="0"/>
        <w:spacing w:line="276" w:lineRule="auto"/>
      </w:pPr>
      <w:bookmarkStart w:id="58" w:name="_Toc288999835"/>
      <w:bookmarkStart w:id="59" w:name="_Toc289000302"/>
    </w:p>
    <w:p w:rsidR="00DF128A" w:rsidRPr="00E20A69" w:rsidRDefault="00DF128A" w:rsidP="00E20A69">
      <w:pPr>
        <w:rPr>
          <w:rFonts w:ascii="Times New Roman" w:hAnsi="Times New Roman" w:cs="Times New Roman"/>
          <w:b/>
          <w:sz w:val="24"/>
          <w:szCs w:val="24"/>
        </w:rPr>
      </w:pPr>
      <w:r w:rsidRPr="00E20A69">
        <w:rPr>
          <w:rFonts w:ascii="Times New Roman" w:hAnsi="Times New Roman" w:cs="Times New Roman"/>
          <w:b/>
          <w:sz w:val="24"/>
          <w:szCs w:val="24"/>
        </w:rPr>
        <w:t>Certifikace FSC</w:t>
      </w:r>
      <w:bookmarkEnd w:id="58"/>
      <w:bookmarkEnd w:id="59"/>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Style w:val="Siln"/>
          <w:rFonts w:ascii="Times New Roman" w:hAnsi="Times New Roman" w:cs="Times New Roman"/>
          <w:b w:val="0"/>
          <w:sz w:val="24"/>
          <w:szCs w:val="24"/>
        </w:rPr>
        <w:t>Certifikace FSC</w:t>
      </w:r>
      <w:r w:rsidRPr="00DF128A">
        <w:rPr>
          <w:rFonts w:ascii="Times New Roman" w:hAnsi="Times New Roman" w:cs="Times New Roman"/>
          <w:sz w:val="24"/>
          <w:szCs w:val="24"/>
        </w:rPr>
        <w:t xml:space="preserve"> představuje důvěryhodný systém </w:t>
      </w:r>
      <w:r w:rsidRPr="00DF128A">
        <w:rPr>
          <w:rFonts w:ascii="Times New Roman" w:hAnsi="Times New Roman" w:cs="Times New Roman"/>
          <w:i/>
          <w:sz w:val="24"/>
          <w:szCs w:val="24"/>
        </w:rPr>
        <w:t>lesní certifikace</w:t>
      </w:r>
      <w:r w:rsidRPr="00DF128A">
        <w:rPr>
          <w:rFonts w:ascii="Times New Roman" w:hAnsi="Times New Roman" w:cs="Times New Roman"/>
          <w:sz w:val="24"/>
          <w:szCs w:val="24"/>
        </w:rPr>
        <w:t xml:space="preserve"> a </w:t>
      </w:r>
      <w:r w:rsidRPr="00DF128A">
        <w:rPr>
          <w:rFonts w:ascii="Times New Roman" w:hAnsi="Times New Roman" w:cs="Times New Roman"/>
          <w:i/>
          <w:sz w:val="24"/>
          <w:szCs w:val="24"/>
        </w:rPr>
        <w:t>certifikace spotřebitelského řetězce s celosvětovou působností</w:t>
      </w:r>
      <w:r w:rsidRPr="00DF128A">
        <w:rPr>
          <w:rFonts w:ascii="Times New Roman" w:hAnsi="Times New Roman" w:cs="Times New Roman"/>
          <w:sz w:val="24"/>
          <w:szCs w:val="24"/>
        </w:rPr>
        <w:t>.</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622CAB">
      <w:pPr>
        <w:pStyle w:val="Nadpispodkapitoly"/>
        <w:widowControl w:val="0"/>
        <w:spacing w:line="276" w:lineRule="auto"/>
        <w:rPr>
          <w:szCs w:val="24"/>
        </w:rPr>
      </w:pPr>
      <w:bookmarkStart w:id="60" w:name="_Toc288999836"/>
      <w:bookmarkStart w:id="61" w:name="_Toc289000303"/>
      <w:r w:rsidRPr="00DF128A">
        <w:rPr>
          <w:rStyle w:val="Siln"/>
          <w:b/>
          <w:bCs w:val="0"/>
          <w:szCs w:val="24"/>
        </w:rPr>
        <w:t>Lesní certifikace systémem FSC</w:t>
      </w:r>
      <w:bookmarkEnd w:id="60"/>
      <w:bookmarkEnd w:id="61"/>
      <w:r w:rsidRPr="00DF128A">
        <w:rPr>
          <w:szCs w:val="24"/>
        </w:rPr>
        <w:t xml:space="preserve">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Představuje proces kontroly konkrétního lesa za účelem zjištění, zda je obhospodařován v souladu se standardem FSC. Pokud tomu tak je, má vlastník lesa právo používat pro dřevo ze svého lesa logo, které na trhu jeho dřevo odliší od dřeva nejasného původu.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Certifikace lesů systémem FSC spočívá v pravidelných inspekcích - auditech lesního hospodaření na konkrétním lesním majetku pomocí terénních šetření (kontrol náhodně vybraných porostů), pohovorů s lesními hospodáři a dělníky pracujícími v lese, prověřování písemných dokumentů. Audit může provádět pouze důvěryhodná certifikační firma (certification body), která získala akreditaci k provádění certifikace lesních majetků od Akreditační jednotky FSC (Accreditation Services International GmbH). Ústředí FSC (FSC A. C.) je majitelem autorských práv na veškeré používání loga i registrovaného názvu Forest Stewardship Council. Akreditační jednotka FSC má právo a povinnost pravidelně kontrolovat činnost akreditovaných certifikačních firem a má právo jejich akreditaci pozastavit nebo i odebrat. Ústředí FSC ani Akreditační jednotka FSC však samy nejsou oprávněny vydávat ani odebírat vlastní certifikáty lesních majetků či podniků zpracovatelského řetězce. Audit probíhá na základě písemné smlouvy mezi vlastníkem lesa, který o certifikaci žádá, a akreditovanou certifikační firmou </w:t>
      </w:r>
      <w:r w:rsidR="00CD0081">
        <w:rPr>
          <w:rFonts w:ascii="Times New Roman" w:hAnsi="Times New Roman" w:cs="Times New Roman"/>
          <w:sz w:val="24"/>
          <w:szCs w:val="24"/>
        </w:rPr>
        <w:t>(</w:t>
      </w:r>
      <w:r w:rsidRPr="00DF128A">
        <w:rPr>
          <w:rFonts w:ascii="Times New Roman" w:hAnsi="Times New Roman" w:cs="Times New Roman"/>
          <w:sz w:val="24"/>
          <w:szCs w:val="24"/>
        </w:rPr>
        <w:t>FSC ČR 2009</w:t>
      </w:r>
      <w:r w:rsidR="00CD0081">
        <w:rPr>
          <w:rFonts w:ascii="Times New Roman" w:hAnsi="Times New Roman" w:cs="Times New Roman"/>
          <w:sz w:val="24"/>
          <w:szCs w:val="24"/>
        </w:rPr>
        <w:t>)</w:t>
      </w:r>
      <w:r w:rsidRPr="00DF128A">
        <w:rPr>
          <w:rFonts w:ascii="Times New Roman" w:hAnsi="Times New Roman" w:cs="Times New Roman"/>
          <w:sz w:val="24"/>
          <w:szCs w:val="24"/>
        </w:rPr>
        <w:t>.</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622CAB">
      <w:pPr>
        <w:widowControl w:val="0"/>
        <w:spacing w:line="276" w:lineRule="auto"/>
        <w:jc w:val="both"/>
        <w:rPr>
          <w:rFonts w:ascii="Times New Roman" w:hAnsi="Times New Roman" w:cs="Times New Roman"/>
          <w:sz w:val="24"/>
          <w:szCs w:val="24"/>
        </w:rPr>
      </w:pPr>
      <w:r w:rsidRPr="00DF128A">
        <w:rPr>
          <w:rFonts w:ascii="Times New Roman" w:hAnsi="Times New Roman" w:cs="Times New Roman"/>
          <w:noProof/>
          <w:sz w:val="24"/>
          <w:szCs w:val="24"/>
          <w:lang w:eastAsia="cs-CZ"/>
        </w:rPr>
        <w:drawing>
          <wp:inline distT="0" distB="0" distL="0" distR="0" wp14:anchorId="6A4E7D4F" wp14:editId="602A3E8D">
            <wp:extent cx="2057400" cy="2381250"/>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57400" cy="2381250"/>
                    </a:xfrm>
                    <a:prstGeom prst="rect">
                      <a:avLst/>
                    </a:prstGeom>
                    <a:noFill/>
                    <a:ln>
                      <a:noFill/>
                    </a:ln>
                  </pic:spPr>
                </pic:pic>
              </a:graphicData>
            </a:graphic>
          </wp:inline>
        </w:drawing>
      </w:r>
    </w:p>
    <w:p w:rsidR="00DF128A" w:rsidRPr="00DF128A" w:rsidRDefault="00DF128A" w:rsidP="00622CAB">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Obr. 1. Logo organizace FSC (zdroj: http://www.czechfsc.cz)</w:t>
      </w:r>
    </w:p>
    <w:p w:rsidR="00622CAB" w:rsidRDefault="00622CAB" w:rsidP="00622CAB">
      <w:pPr>
        <w:pStyle w:val="Nadpispodkapitoly"/>
        <w:widowControl w:val="0"/>
        <w:spacing w:line="276" w:lineRule="auto"/>
        <w:rPr>
          <w:rStyle w:val="Siln"/>
          <w:b/>
          <w:szCs w:val="24"/>
        </w:rPr>
      </w:pPr>
      <w:bookmarkStart w:id="62" w:name="_Toc288999837"/>
      <w:bookmarkStart w:id="63" w:name="_Toc289000304"/>
    </w:p>
    <w:p w:rsidR="00DF128A" w:rsidRPr="00DF128A" w:rsidRDefault="00DF128A" w:rsidP="00622CAB">
      <w:pPr>
        <w:pStyle w:val="Nadpispodkapitoly"/>
        <w:widowControl w:val="0"/>
        <w:spacing w:line="276" w:lineRule="auto"/>
        <w:rPr>
          <w:szCs w:val="24"/>
        </w:rPr>
      </w:pPr>
      <w:r w:rsidRPr="00DF128A">
        <w:rPr>
          <w:rStyle w:val="Siln"/>
          <w:b/>
          <w:szCs w:val="24"/>
        </w:rPr>
        <w:t>Certifikace zpracovatelského (spotřebitelského) řetězce</w:t>
      </w:r>
      <w:r w:rsidRPr="00DF128A">
        <w:rPr>
          <w:szCs w:val="24"/>
        </w:rPr>
        <w:t xml:space="preserve"> (CoC)</w:t>
      </w:r>
      <w:bookmarkEnd w:id="62"/>
      <w:bookmarkEnd w:id="63"/>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Zaručuje, že konečný výrobek pochází z lesů s certifikátem FSC. V praxi to znamená, že každý zpracovatel ve zpracovatelském řetězci (od lesa k zákazníkovi) musí získat certifikát FSC. To dává zákazníkovi jistotu, že kupuje výrobek z šetrně obhospodařovaných lesů. FSC podporují největší environmentální organizace (WWF, Friends of the Earth, Greenpeace) a velké obchodní řetězce (Hornbach, IKEA, B&amp;Q, Home Depot).</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U podniků ve spotřebitelském řetězci je certifikace vyžadována pro každou fázi výroby produktu ze dřeva, od pily přes obchodníky se dřevem a dřevozpracující podniky vyrábějící polotovary až k producentovi finálního výrobku. Každá fáze výroby musí být kontrolována a certifikována. Držitelem certifikátu nemusí být pouze prodejce, který dobře </w:t>
      </w:r>
      <w:r w:rsidRPr="00DF128A">
        <w:rPr>
          <w:rFonts w:ascii="Times New Roman" w:hAnsi="Times New Roman" w:cs="Times New Roman"/>
          <w:sz w:val="24"/>
          <w:szCs w:val="24"/>
        </w:rPr>
        <w:lastRenderedPageBreak/>
        <w:t xml:space="preserve">značený a originálně balený výrobek prodává konečnému spotřebiteli </w:t>
      </w:r>
      <w:r w:rsidR="00CD0081">
        <w:rPr>
          <w:rFonts w:ascii="Times New Roman" w:hAnsi="Times New Roman" w:cs="Times New Roman"/>
          <w:sz w:val="24"/>
          <w:szCs w:val="24"/>
        </w:rPr>
        <w:t>(</w:t>
      </w:r>
      <w:r w:rsidRPr="00DF128A">
        <w:rPr>
          <w:rFonts w:ascii="Times New Roman" w:hAnsi="Times New Roman" w:cs="Times New Roman"/>
          <w:sz w:val="24"/>
          <w:szCs w:val="24"/>
        </w:rPr>
        <w:t>FSC ČR 2009</w:t>
      </w:r>
      <w:r w:rsidR="00CD0081">
        <w:rPr>
          <w:rFonts w:ascii="Times New Roman" w:hAnsi="Times New Roman" w:cs="Times New Roman"/>
          <w:sz w:val="24"/>
          <w:szCs w:val="24"/>
        </w:rPr>
        <w:t>)</w:t>
      </w:r>
      <w:r w:rsidRPr="00DF128A">
        <w:rPr>
          <w:rFonts w:ascii="Times New Roman" w:hAnsi="Times New Roman" w:cs="Times New Roman"/>
          <w:sz w:val="24"/>
          <w:szCs w:val="24"/>
        </w:rPr>
        <w:t>.</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p>
    <w:p w:rsidR="00DF128A" w:rsidRPr="00DF128A" w:rsidRDefault="00DF128A" w:rsidP="00622CAB">
      <w:pPr>
        <w:pStyle w:val="Nadpispodkapitoly"/>
        <w:widowControl w:val="0"/>
        <w:spacing w:line="276" w:lineRule="auto"/>
        <w:rPr>
          <w:szCs w:val="24"/>
        </w:rPr>
      </w:pPr>
      <w:bookmarkStart w:id="64" w:name="_Toc288999838"/>
      <w:bookmarkStart w:id="65" w:name="_Toc289000305"/>
      <w:r w:rsidRPr="00DF128A">
        <w:rPr>
          <w:szCs w:val="24"/>
        </w:rPr>
        <w:t>Principy a kritéria FSC certifikace</w:t>
      </w:r>
      <w:bookmarkEnd w:id="64"/>
      <w:bookmarkEnd w:id="65"/>
    </w:p>
    <w:p w:rsidR="00DF128A" w:rsidRPr="00DF128A" w:rsidRDefault="00DF128A" w:rsidP="00DF128A">
      <w:pPr>
        <w:widowControl w:val="0"/>
        <w:spacing w:line="276" w:lineRule="auto"/>
        <w:ind w:firstLine="709"/>
        <w:jc w:val="both"/>
        <w:rPr>
          <w:rFonts w:ascii="Times New Roman" w:hAnsi="Times New Roman" w:cs="Times New Roman"/>
          <w:sz w:val="24"/>
          <w:szCs w:val="24"/>
          <w:lang w:eastAsia="cs-CZ"/>
        </w:rPr>
      </w:pPr>
      <w:r w:rsidRPr="00DF128A">
        <w:rPr>
          <w:rFonts w:ascii="Times New Roman" w:hAnsi="Times New Roman" w:cs="Times New Roman"/>
          <w:sz w:val="24"/>
          <w:szCs w:val="24"/>
          <w:lang w:eastAsia="cs-CZ"/>
        </w:rPr>
        <w:t>Principy a kritéria FSC se týkají všech lesů tropických, mírného pásma i boreálních. Velká část principů a kritérií FSC se vztahuje též na lesní plantáže. Podrobnější standardy pro vegetační typy mohou být připraveny na národní a místní úrovni. Principy a kritéria FSC musí být zahrnuty do hodnotících systémů a standardů všech certifikačních organizací, které chtějí získat akreditaci FSC. Principy a kritéria byly vytvořeny zejména pro lesy s převažující dřevo - produkční funkcí, na různých úrovních jsou však použitelné pro lesy obhospodařované pro jiné než dřevní produkty a lesy jiných funkcí. Principy a kritéria FSC je potřeba brát jako jeden celek, pořadí principů nevyjadřuje jejich významnost.</w:t>
      </w:r>
    </w:p>
    <w:p w:rsidR="00DF128A" w:rsidRPr="00DF128A" w:rsidRDefault="00DF128A" w:rsidP="00DF128A">
      <w:pPr>
        <w:widowControl w:val="0"/>
        <w:spacing w:line="276" w:lineRule="auto"/>
        <w:ind w:firstLine="709"/>
        <w:jc w:val="both"/>
        <w:rPr>
          <w:rFonts w:ascii="Times New Roman" w:hAnsi="Times New Roman" w:cs="Times New Roman"/>
          <w:color w:val="000000"/>
          <w:sz w:val="24"/>
          <w:szCs w:val="24"/>
        </w:rPr>
      </w:pPr>
      <w:r w:rsidRPr="00DF128A">
        <w:rPr>
          <w:rFonts w:ascii="Times New Roman" w:hAnsi="Times New Roman" w:cs="Times New Roman"/>
          <w:color w:val="000000"/>
          <w:sz w:val="24"/>
          <w:szCs w:val="24"/>
        </w:rPr>
        <w:t xml:space="preserve">Mezinárodní organizací FSC bylo vytvořeno deset principů a padesát šest upřesňujících kritérií, které jsou podkladem pro vytváření FSC standardu lesního hospodaření v dané zemi. </w:t>
      </w:r>
      <w:r w:rsidRPr="00DF128A">
        <w:rPr>
          <w:rStyle w:val="Siln"/>
          <w:rFonts w:ascii="Times New Roman" w:hAnsi="Times New Roman" w:cs="Times New Roman"/>
          <w:b w:val="0"/>
          <w:color w:val="000000"/>
          <w:sz w:val="24"/>
          <w:szCs w:val="24"/>
        </w:rPr>
        <w:t>Standard lesního hospodaření</w:t>
      </w:r>
      <w:r w:rsidRPr="00DF128A">
        <w:rPr>
          <w:rFonts w:ascii="Times New Roman" w:hAnsi="Times New Roman" w:cs="Times New Roman"/>
          <w:color w:val="000000"/>
          <w:sz w:val="24"/>
          <w:szCs w:val="24"/>
        </w:rPr>
        <w:t xml:space="preserve"> je normativní dokument specifikující podmínky, jež musí podnik spravující les splnit, aby mohl obdržet certifikát FSC. Principy FSC jsou následující:</w:t>
      </w: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r w:rsidRPr="00DF128A">
        <w:rPr>
          <w:rFonts w:ascii="Times New Roman" w:hAnsi="Times New Roman" w:cs="Times New Roman"/>
          <w:sz w:val="24"/>
          <w:szCs w:val="24"/>
        </w:rPr>
        <w:t>1.</w:t>
      </w:r>
      <w:r w:rsidRPr="00DF128A">
        <w:rPr>
          <w:rFonts w:ascii="Times New Roman" w:hAnsi="Times New Roman" w:cs="Times New Roman"/>
          <w:b/>
          <w:sz w:val="24"/>
          <w:szCs w:val="24"/>
        </w:rPr>
        <w:t xml:space="preserve"> </w:t>
      </w:r>
      <w:r w:rsidRPr="00DF128A">
        <w:rPr>
          <w:rStyle w:val="Siln"/>
          <w:rFonts w:ascii="Times New Roman" w:hAnsi="Times New Roman" w:cs="Times New Roman"/>
          <w:b w:val="0"/>
          <w:sz w:val="24"/>
          <w:szCs w:val="24"/>
          <w:u w:val="single"/>
        </w:rPr>
        <w:t>Dodržování zákonů a principů FSC</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Lesní hospodaření musí respektovat všechny příslušné zákony dané země i mezinárodní úmluvy a smlouvy, které se daná země zavázala dodržovat, a musí vyhovět všem principům a kritériím FSC.</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r w:rsidRPr="00DF128A">
        <w:rPr>
          <w:rFonts w:ascii="Times New Roman" w:hAnsi="Times New Roman" w:cs="Times New Roman"/>
          <w:sz w:val="24"/>
          <w:szCs w:val="24"/>
        </w:rPr>
        <w:t>2.</w:t>
      </w:r>
      <w:r w:rsidRPr="00DF128A">
        <w:rPr>
          <w:rFonts w:ascii="Times New Roman" w:hAnsi="Times New Roman" w:cs="Times New Roman"/>
          <w:b/>
          <w:sz w:val="24"/>
          <w:szCs w:val="24"/>
        </w:rPr>
        <w:t xml:space="preserve"> </w:t>
      </w:r>
      <w:r w:rsidRPr="00DF128A">
        <w:rPr>
          <w:rStyle w:val="Siln"/>
          <w:rFonts w:ascii="Times New Roman" w:hAnsi="Times New Roman" w:cs="Times New Roman"/>
          <w:b w:val="0"/>
          <w:sz w:val="24"/>
          <w:szCs w:val="24"/>
          <w:u w:val="single"/>
        </w:rPr>
        <w:t>Vlastnická a uživatelská práva a povinnosti</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Dlouhodobá vlastnická práva a práva na užívání pozemků a lesních zdrojů musí být jasně definována, zdokumentována a právně zakotvena.</w:t>
      </w:r>
    </w:p>
    <w:p w:rsidR="00CD0081" w:rsidRDefault="00CD0081"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r w:rsidRPr="00DF128A">
        <w:rPr>
          <w:rFonts w:ascii="Times New Roman" w:hAnsi="Times New Roman" w:cs="Times New Roman"/>
          <w:sz w:val="24"/>
          <w:szCs w:val="24"/>
        </w:rPr>
        <w:t xml:space="preserve">3. </w:t>
      </w:r>
      <w:r w:rsidRPr="00DF128A">
        <w:rPr>
          <w:rStyle w:val="Siln"/>
          <w:rFonts w:ascii="Times New Roman" w:hAnsi="Times New Roman" w:cs="Times New Roman"/>
          <w:b w:val="0"/>
          <w:sz w:val="24"/>
          <w:szCs w:val="24"/>
          <w:u w:val="single"/>
        </w:rPr>
        <w:t>Práva domorodých obyvatel</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Musí být uznána a respektována zákonná a zvyková práva domorodých obyvatel vlastnit, užívat a hospodařit se svou půdou, územím a zdroji. Tento princip není v České republice aplikovatelný.</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4. </w:t>
      </w:r>
      <w:r w:rsidRPr="00DF128A">
        <w:rPr>
          <w:rStyle w:val="Siln"/>
          <w:rFonts w:ascii="Times New Roman" w:hAnsi="Times New Roman" w:cs="Times New Roman"/>
          <w:b w:val="0"/>
          <w:sz w:val="24"/>
          <w:szCs w:val="24"/>
          <w:u w:val="single"/>
        </w:rPr>
        <w:t>Vztahy k místnímu obyvatelstvu a práva zaměstnanců</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Podniky lesního hospodaření musí zachovávat nebo zvyšovat dlouhodobý sociální a ekonomický blahobyt lesních dělníků a místních komunit.</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5. </w:t>
      </w:r>
      <w:r w:rsidRPr="00DF128A">
        <w:rPr>
          <w:rStyle w:val="Siln"/>
          <w:rFonts w:ascii="Times New Roman" w:hAnsi="Times New Roman" w:cs="Times New Roman"/>
          <w:b w:val="0"/>
          <w:sz w:val="24"/>
          <w:szCs w:val="24"/>
          <w:u w:val="single"/>
        </w:rPr>
        <w:t>Užitky z lesa</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Lesní hospodářská opatření musí podněcovat účelné využívání rozmanitých produktů a funkcí lesa tak, aby byla zajištěna jeho ekonomická životaschopnost a celá řada environmentálních a sociálních užitků.</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b/>
          <w:sz w:val="24"/>
          <w:szCs w:val="24"/>
        </w:rPr>
      </w:pPr>
      <w:r w:rsidRPr="00DF128A">
        <w:rPr>
          <w:rFonts w:ascii="Times New Roman" w:hAnsi="Times New Roman" w:cs="Times New Roman"/>
          <w:sz w:val="24"/>
          <w:szCs w:val="24"/>
        </w:rPr>
        <w:t xml:space="preserve">6. </w:t>
      </w:r>
      <w:r w:rsidRPr="00DF128A">
        <w:rPr>
          <w:rStyle w:val="Siln"/>
          <w:rFonts w:ascii="Times New Roman" w:hAnsi="Times New Roman" w:cs="Times New Roman"/>
          <w:b w:val="0"/>
          <w:sz w:val="24"/>
          <w:szCs w:val="24"/>
          <w:u w:val="single"/>
        </w:rPr>
        <w:t>Vliv na životní prostředí</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Hospodaření v lesích musí zachovávat biologickou rozmanitost a s ní spojené hodnoty, vodní zdroje, půdu i jedinečné a křehké ekosystémy a krajinné celky, a zajišťovat tak ekologické funkce a integritu lesa.</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lastRenderedPageBreak/>
        <w:t xml:space="preserve">7. </w:t>
      </w:r>
      <w:r w:rsidRPr="00DF128A">
        <w:rPr>
          <w:rStyle w:val="Siln"/>
          <w:rFonts w:ascii="Times New Roman" w:hAnsi="Times New Roman" w:cs="Times New Roman"/>
          <w:b w:val="0"/>
          <w:sz w:val="24"/>
          <w:szCs w:val="24"/>
          <w:u w:val="single"/>
        </w:rPr>
        <w:t>Hospodářský plán</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Musí být písemně vypracován, naplňován a aktualizován. Musí být jasně určeny dlouhodobé cíle lesního hospodaření a stanoveny prostředky, jak jich dosáhnout.</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8: </w:t>
      </w:r>
      <w:r w:rsidRPr="00DF128A">
        <w:rPr>
          <w:rStyle w:val="Siln"/>
          <w:rFonts w:ascii="Times New Roman" w:hAnsi="Times New Roman" w:cs="Times New Roman"/>
          <w:b w:val="0"/>
          <w:sz w:val="24"/>
          <w:szCs w:val="24"/>
          <w:u w:val="single"/>
        </w:rPr>
        <w:t>Monitoring a hodnocení</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S ohledem na rozsah a intenzitu lesního hospodaření musí být prováděn monitoring, který bude podkladem pro hodnocení stavu lesa, výnosů lesních produktů, zpracovatelského řetězce (chain of custody), hospodářských opatření a jejich sociálních a environmentálních dopadů.</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u w:val="single"/>
        </w:rPr>
      </w:pPr>
      <w:r w:rsidRPr="00DF128A">
        <w:rPr>
          <w:rFonts w:ascii="Times New Roman" w:hAnsi="Times New Roman" w:cs="Times New Roman"/>
          <w:sz w:val="24"/>
          <w:szCs w:val="24"/>
        </w:rPr>
        <w:t>9.</w:t>
      </w:r>
      <w:r w:rsidRPr="00DF128A">
        <w:rPr>
          <w:rFonts w:ascii="Times New Roman" w:hAnsi="Times New Roman" w:cs="Times New Roman"/>
          <w:sz w:val="24"/>
          <w:szCs w:val="24"/>
          <w:u w:val="single"/>
        </w:rPr>
        <w:t xml:space="preserve"> Zachování lesů s vysokou ochranářskou hodnotou</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Hospodářské zásahy v lesích s vysokou ochranářskou hodnotou musí zachovávat nebo rozvíjet charakteristické znaky, jimiž se tyto lesy vyznačují. Rozhodnutí, která se vztahují na lesy s vysokou ochranářskou hodnotou, musí být vždy zvažována na základě principu předběžné opatrnosti.</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10. </w:t>
      </w:r>
      <w:r w:rsidRPr="00DF128A">
        <w:rPr>
          <w:rStyle w:val="Siln"/>
          <w:rFonts w:ascii="Times New Roman" w:hAnsi="Times New Roman" w:cs="Times New Roman"/>
          <w:b w:val="0"/>
          <w:sz w:val="24"/>
          <w:szCs w:val="24"/>
          <w:u w:val="single"/>
        </w:rPr>
        <w:t xml:space="preserve">Plantáže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Plantáže musí být plánovány a obhospodařovány podle principů a kritérií 1 – 9 a principu 10 a jeho kritérií. Plantáže sice mohou v mnoha směrech znamenat sociální a ekonomický přínos a mohou přispět k uspokojování celosvětové potřeby lesních produktů, měly by však být pouze doplňkovou součástí hospodaření v přirozených lesích, snižovat tlak na jejich využívání a podporovat jejich obnovu a ochranu.</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Principy jsou rozvedeny do </w:t>
      </w:r>
      <w:r w:rsidRPr="00DF128A">
        <w:rPr>
          <w:rStyle w:val="Siln"/>
          <w:rFonts w:ascii="Times New Roman" w:hAnsi="Times New Roman" w:cs="Times New Roman"/>
          <w:b w:val="0"/>
          <w:sz w:val="24"/>
          <w:szCs w:val="24"/>
        </w:rPr>
        <w:t>kritérií</w:t>
      </w:r>
      <w:r w:rsidRPr="00DF128A">
        <w:rPr>
          <w:rFonts w:ascii="Times New Roman" w:hAnsi="Times New Roman" w:cs="Times New Roman"/>
          <w:sz w:val="24"/>
          <w:szCs w:val="24"/>
        </w:rPr>
        <w:t xml:space="preserve">. Kritérium je prostředek sloužící k posouzení, byl-li splněn princip lesního hospodaření. Některá z kritérií FSC jsou uvedena ve formě abecedního seznamu konkrétních položek, tyto položky se pak nazývají </w:t>
      </w:r>
      <w:r w:rsidRPr="00DF128A">
        <w:rPr>
          <w:rStyle w:val="Siln"/>
          <w:rFonts w:ascii="Times New Roman" w:hAnsi="Times New Roman" w:cs="Times New Roman"/>
          <w:b w:val="0"/>
          <w:sz w:val="24"/>
          <w:szCs w:val="24"/>
        </w:rPr>
        <w:t xml:space="preserve">podkritéria </w:t>
      </w:r>
      <w:r w:rsidR="00CD0081">
        <w:rPr>
          <w:rFonts w:ascii="Times New Roman" w:hAnsi="Times New Roman" w:cs="Times New Roman"/>
          <w:sz w:val="24"/>
          <w:szCs w:val="24"/>
        </w:rPr>
        <w:t>(</w:t>
      </w:r>
      <w:r w:rsidRPr="00DF128A">
        <w:rPr>
          <w:rFonts w:ascii="Times New Roman" w:hAnsi="Times New Roman" w:cs="Times New Roman"/>
          <w:sz w:val="24"/>
          <w:szCs w:val="24"/>
        </w:rPr>
        <w:t>FSC ČR 2009</w:t>
      </w:r>
      <w:r w:rsidR="00CD0081">
        <w:rPr>
          <w:rFonts w:ascii="Times New Roman" w:hAnsi="Times New Roman" w:cs="Times New Roman"/>
          <w:sz w:val="24"/>
          <w:szCs w:val="24"/>
        </w:rPr>
        <w:t>)</w:t>
      </w:r>
      <w:r w:rsidRPr="00DF128A">
        <w:rPr>
          <w:rFonts w:ascii="Times New Roman" w:hAnsi="Times New Roman" w:cs="Times New Roman"/>
          <w:b/>
          <w:sz w:val="24"/>
          <w:szCs w:val="24"/>
        </w:rPr>
        <w:t>.</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622CAB">
      <w:pPr>
        <w:pStyle w:val="Nadpispodkapitoly"/>
        <w:widowControl w:val="0"/>
        <w:spacing w:line="276" w:lineRule="auto"/>
        <w:rPr>
          <w:szCs w:val="24"/>
        </w:rPr>
      </w:pPr>
      <w:bookmarkStart w:id="66" w:name="_Toc288999839"/>
      <w:bookmarkStart w:id="67" w:name="_Toc289000306"/>
      <w:r w:rsidRPr="00DF128A">
        <w:rPr>
          <w:szCs w:val="24"/>
        </w:rPr>
        <w:t>Globální rozšíření certifikace FSC</w:t>
      </w:r>
      <w:bookmarkEnd w:id="66"/>
      <w:bookmarkEnd w:id="67"/>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Style w:val="Siln"/>
          <w:rFonts w:ascii="Times New Roman" w:hAnsi="Times New Roman" w:cs="Times New Roman"/>
          <w:b w:val="0"/>
          <w:sz w:val="24"/>
          <w:szCs w:val="24"/>
        </w:rPr>
        <w:t xml:space="preserve">Rozloha </w:t>
      </w:r>
      <w:r w:rsidRPr="00DF128A">
        <w:rPr>
          <w:rFonts w:ascii="Times New Roman" w:hAnsi="Times New Roman" w:cs="Times New Roman"/>
          <w:sz w:val="24"/>
          <w:szCs w:val="24"/>
        </w:rPr>
        <w:t xml:space="preserve">lesů certifikovaných systémem FSC roste velmi rychle. </w:t>
      </w:r>
      <w:r w:rsidRPr="00DF128A">
        <w:rPr>
          <w:rStyle w:val="Siln"/>
          <w:rFonts w:ascii="Times New Roman" w:hAnsi="Times New Roman" w:cs="Times New Roman"/>
          <w:b w:val="0"/>
          <w:sz w:val="24"/>
          <w:szCs w:val="24"/>
        </w:rPr>
        <w:t>V červnu 2009 bylo celkem certifikováno přes 114 milionů hektarů lesa v 82 zemích světa.</w:t>
      </w:r>
      <w:r w:rsidRPr="00DF128A">
        <w:rPr>
          <w:rStyle w:val="Siln"/>
          <w:rFonts w:ascii="Times New Roman" w:hAnsi="Times New Roman" w:cs="Times New Roman"/>
          <w:sz w:val="24"/>
          <w:szCs w:val="24"/>
        </w:rPr>
        <w:t xml:space="preserve"> </w:t>
      </w:r>
      <w:r w:rsidRPr="00DF128A">
        <w:rPr>
          <w:rFonts w:ascii="Times New Roman" w:hAnsi="Times New Roman" w:cs="Times New Roman"/>
          <w:sz w:val="24"/>
          <w:szCs w:val="24"/>
        </w:rPr>
        <w:t xml:space="preserve">Z toho zhruba polovina rozlohy připadá na Evropu. Nejvíce certifikovaných lesů se nachází ve Švédsku, Polsku, Chorvatsku, Velké Británii, Estonsku, Litvě, Lotyšsku, Rumunsku a Německu.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V České republice se v porovnání s okolními státy uplatnila certifikace FSC zatím méně. Certifikát vlastní např. Školní lesní podnik Mendelovy zemědělské a lesnické univerzity ve Křtinách u Brna, Lesy města Prahy, sdružení obecních a soukromých lesů Svitavsko, Správa Krkonošského národního parku </w:t>
      </w:r>
      <w:r w:rsidR="00CD0081">
        <w:rPr>
          <w:rFonts w:ascii="Times New Roman" w:hAnsi="Times New Roman" w:cs="Times New Roman"/>
          <w:sz w:val="24"/>
          <w:szCs w:val="24"/>
        </w:rPr>
        <w:t>(</w:t>
      </w:r>
      <w:r w:rsidRPr="00DF128A">
        <w:rPr>
          <w:rFonts w:ascii="Times New Roman" w:hAnsi="Times New Roman" w:cs="Times New Roman"/>
          <w:sz w:val="24"/>
          <w:szCs w:val="24"/>
        </w:rPr>
        <w:t>FSC ČR 2009</w:t>
      </w:r>
      <w:r w:rsidR="00CD0081">
        <w:rPr>
          <w:rFonts w:ascii="Times New Roman" w:hAnsi="Times New Roman" w:cs="Times New Roman"/>
          <w:sz w:val="24"/>
          <w:szCs w:val="24"/>
        </w:rPr>
        <w:t>)</w:t>
      </w:r>
      <w:r w:rsidRPr="00DF128A">
        <w:rPr>
          <w:rFonts w:ascii="Times New Roman" w:hAnsi="Times New Roman" w:cs="Times New Roman"/>
          <w:sz w:val="24"/>
          <w:szCs w:val="24"/>
        </w:rPr>
        <w:t>.</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E20A69" w:rsidRDefault="00DF128A" w:rsidP="00E20A69">
      <w:pPr>
        <w:pStyle w:val="Nadpispodkapitoly"/>
        <w:widowControl w:val="0"/>
        <w:spacing w:line="276" w:lineRule="auto"/>
        <w:rPr>
          <w:szCs w:val="24"/>
        </w:rPr>
      </w:pPr>
      <w:bookmarkStart w:id="68" w:name="_Toc288999840"/>
      <w:bookmarkStart w:id="69" w:name="_Toc289000307"/>
      <w:r w:rsidRPr="00E20A69">
        <w:rPr>
          <w:szCs w:val="24"/>
        </w:rPr>
        <w:t>Certifikované výrobky</w:t>
      </w:r>
      <w:bookmarkEnd w:id="68"/>
      <w:bookmarkEnd w:id="69"/>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Na trhu najdeme FSC certifikovaný nábytek do domácností, kanceláří, zahradní nábytek, okna, dveře, schody, hračky, železniční pražce, potřeby pro kutily, kuchyňské náčiní, zároveň se stavějí domy a mosty ze dřeva FSC. Velký rozmach zaznamenává výroba certifikovaného papíru a vydávání knih, časopisů a jiných publikací na FSC papíru.</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Výrobky s logem FSC tvoří ve většině západoevropských zemí již několik procent </w:t>
      </w:r>
      <w:r w:rsidRPr="00DF128A">
        <w:rPr>
          <w:rFonts w:ascii="Times New Roman" w:hAnsi="Times New Roman" w:cs="Times New Roman"/>
          <w:sz w:val="24"/>
          <w:szCs w:val="24"/>
        </w:rPr>
        <w:lastRenderedPageBreak/>
        <w:t xml:space="preserve">trhu. Jejich podíl výrazně roste - trh se ročně zvětšuje o desítky procent a prodává se více než </w:t>
      </w:r>
      <w:r w:rsidRPr="00DF128A">
        <w:rPr>
          <w:rStyle w:val="Siln"/>
          <w:rFonts w:ascii="Times New Roman" w:hAnsi="Times New Roman" w:cs="Times New Roman"/>
          <w:b w:val="0"/>
          <w:sz w:val="24"/>
          <w:szCs w:val="24"/>
        </w:rPr>
        <w:t>20 000 druhů</w:t>
      </w:r>
      <w:r w:rsidRPr="00DF128A">
        <w:rPr>
          <w:rFonts w:ascii="Times New Roman" w:hAnsi="Times New Roman" w:cs="Times New Roman"/>
          <w:b/>
          <w:sz w:val="24"/>
          <w:szCs w:val="24"/>
        </w:rPr>
        <w:t xml:space="preserve"> </w:t>
      </w:r>
      <w:r w:rsidRPr="00DF128A">
        <w:rPr>
          <w:rFonts w:ascii="Times New Roman" w:hAnsi="Times New Roman" w:cs="Times New Roman"/>
          <w:sz w:val="24"/>
          <w:szCs w:val="24"/>
        </w:rPr>
        <w:t>výrobků s logem FSC. Certifikát FSC má dnes oprávnění používat přes 13 700 firem ve zpracovatelském řetězci (dřevozpracovatelé mající certifikát FSC).</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Na webových stránkách FSC se nachází Mezinárodní databáze certifikovaných výrobků. V České republice obdrželo certifikaci FSC přes 130 firem. Podle průzkumu trhu na jaře roku 2006 nabízely nejvíce FSC výrobků řetězce Hornbach, Jysk, OBI a Bauhaus.</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622CAB">
      <w:pPr>
        <w:widowControl w:val="0"/>
        <w:spacing w:line="276" w:lineRule="auto"/>
        <w:jc w:val="both"/>
        <w:rPr>
          <w:rFonts w:ascii="Times New Roman" w:hAnsi="Times New Roman" w:cs="Times New Roman"/>
          <w:sz w:val="24"/>
          <w:szCs w:val="24"/>
        </w:rPr>
      </w:pPr>
      <w:r w:rsidRPr="00DF128A">
        <w:rPr>
          <w:rFonts w:ascii="Times New Roman" w:hAnsi="Times New Roman" w:cs="Times New Roman"/>
          <w:noProof/>
          <w:sz w:val="24"/>
          <w:szCs w:val="24"/>
          <w:lang w:eastAsia="cs-CZ"/>
        </w:rPr>
        <w:drawing>
          <wp:inline distT="0" distB="0" distL="0" distR="0" wp14:anchorId="4FAE94EB" wp14:editId="7793D236">
            <wp:extent cx="5762625" cy="3552825"/>
            <wp:effectExtent l="0" t="0" r="9525" b="952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2625" cy="3552825"/>
                    </a:xfrm>
                    <a:prstGeom prst="rect">
                      <a:avLst/>
                    </a:prstGeom>
                    <a:noFill/>
                    <a:ln>
                      <a:noFill/>
                    </a:ln>
                  </pic:spPr>
                </pic:pic>
              </a:graphicData>
            </a:graphic>
          </wp:inline>
        </w:drawing>
      </w:r>
    </w:p>
    <w:p w:rsidR="00CD0081" w:rsidRDefault="00DF128A" w:rsidP="00622CAB">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 xml:space="preserve">Obr. 2. Ukázka výrobků s certifikátem FSC </w:t>
      </w:r>
    </w:p>
    <w:p w:rsidR="00DF128A" w:rsidRPr="00CD0081" w:rsidRDefault="00DF128A" w:rsidP="00622CAB">
      <w:pPr>
        <w:widowControl w:val="0"/>
        <w:spacing w:line="276" w:lineRule="auto"/>
        <w:jc w:val="both"/>
        <w:rPr>
          <w:rFonts w:ascii="Times New Roman" w:hAnsi="Times New Roman" w:cs="Times New Roman"/>
          <w:i/>
          <w:sz w:val="20"/>
          <w:szCs w:val="20"/>
        </w:rPr>
      </w:pPr>
      <w:r w:rsidRPr="00CD0081">
        <w:rPr>
          <w:rFonts w:ascii="Times New Roman" w:hAnsi="Times New Roman" w:cs="Times New Roman"/>
          <w:i/>
          <w:sz w:val="20"/>
          <w:szCs w:val="20"/>
        </w:rPr>
        <w:t>zdroj: http://</w:t>
      </w:r>
      <w:r w:rsidR="00CD0081">
        <w:rPr>
          <w:rFonts w:ascii="Times New Roman" w:hAnsi="Times New Roman" w:cs="Times New Roman"/>
          <w:i/>
          <w:sz w:val="20"/>
          <w:szCs w:val="20"/>
        </w:rPr>
        <w:t>fscgardensheds.co.uk/index.html</w:t>
      </w:r>
    </w:p>
    <w:p w:rsidR="00DF128A" w:rsidRPr="00DF128A" w:rsidRDefault="00DF128A" w:rsidP="00DF128A">
      <w:pPr>
        <w:widowControl w:val="0"/>
        <w:spacing w:line="276" w:lineRule="auto"/>
        <w:ind w:firstLine="709"/>
        <w:jc w:val="both"/>
        <w:rPr>
          <w:rFonts w:ascii="Times New Roman" w:hAnsi="Times New Roman" w:cs="Times New Roman"/>
          <w:sz w:val="24"/>
          <w:szCs w:val="24"/>
          <w:u w:val="single"/>
        </w:rPr>
      </w:pP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Výrobky s certifikátem FSC by měly být označeny logem FSC. Pod logem je vždy uvedeno číslo certifikátu firmy, která výrobek vyrobila. Jedná se o kód ve tvaru: XX-COC-XXXX, kde XX znamená zkratku certifikační firmy a XXXX reprezentuje číslo, Podle tohoto kódu lze dohledat výrobce v mezinárodní databázi </w:t>
      </w:r>
      <w:r w:rsidR="00CD0081">
        <w:rPr>
          <w:rFonts w:ascii="Times New Roman" w:hAnsi="Times New Roman" w:cs="Times New Roman"/>
          <w:sz w:val="24"/>
          <w:szCs w:val="24"/>
        </w:rPr>
        <w:t>(FSC ČR</w:t>
      </w:r>
      <w:r w:rsidRPr="00DF128A">
        <w:rPr>
          <w:rFonts w:ascii="Times New Roman" w:hAnsi="Times New Roman" w:cs="Times New Roman"/>
          <w:sz w:val="24"/>
          <w:szCs w:val="24"/>
        </w:rPr>
        <w:t xml:space="preserve"> 2009</w:t>
      </w:r>
      <w:r w:rsidR="00CD0081">
        <w:rPr>
          <w:rFonts w:ascii="Times New Roman" w:hAnsi="Times New Roman" w:cs="Times New Roman"/>
          <w:sz w:val="24"/>
          <w:szCs w:val="24"/>
        </w:rPr>
        <w:t>)</w:t>
      </w:r>
      <w:r w:rsidRPr="00DF128A">
        <w:rPr>
          <w:rFonts w:ascii="Times New Roman" w:hAnsi="Times New Roman" w:cs="Times New Roman"/>
          <w:sz w:val="24"/>
          <w:szCs w:val="24"/>
        </w:rPr>
        <w:t xml:space="preserve">. </w:t>
      </w:r>
    </w:p>
    <w:p w:rsidR="00DF128A" w:rsidRPr="00DF128A" w:rsidRDefault="00DF128A" w:rsidP="00622CAB">
      <w:pPr>
        <w:widowControl w:val="0"/>
        <w:spacing w:line="276" w:lineRule="auto"/>
        <w:jc w:val="both"/>
        <w:rPr>
          <w:rFonts w:ascii="Times New Roman" w:hAnsi="Times New Roman" w:cs="Times New Roman"/>
          <w:sz w:val="24"/>
          <w:szCs w:val="24"/>
        </w:rPr>
      </w:pPr>
      <w:r w:rsidRPr="00DF128A">
        <w:rPr>
          <w:rFonts w:ascii="Times New Roman" w:hAnsi="Times New Roman" w:cs="Times New Roman"/>
          <w:noProof/>
          <w:sz w:val="24"/>
          <w:szCs w:val="24"/>
          <w:lang w:eastAsia="cs-CZ"/>
        </w:rPr>
        <w:lastRenderedPageBreak/>
        <w:drawing>
          <wp:inline distT="0" distB="0" distL="0" distR="0" wp14:anchorId="7CF44F75" wp14:editId="439946A5">
            <wp:extent cx="5267325" cy="2780487"/>
            <wp:effectExtent l="0" t="0" r="0" b="127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67325" cy="2780487"/>
                    </a:xfrm>
                    <a:prstGeom prst="rect">
                      <a:avLst/>
                    </a:prstGeom>
                    <a:noFill/>
                    <a:ln>
                      <a:noFill/>
                    </a:ln>
                  </pic:spPr>
                </pic:pic>
              </a:graphicData>
            </a:graphic>
          </wp:inline>
        </w:drawing>
      </w:r>
    </w:p>
    <w:p w:rsidR="00DF128A" w:rsidRPr="00DF128A" w:rsidRDefault="00DF128A" w:rsidP="00622CAB">
      <w:pPr>
        <w:widowControl w:val="0"/>
        <w:spacing w:line="276" w:lineRule="auto"/>
        <w:jc w:val="both"/>
        <w:rPr>
          <w:rFonts w:ascii="Times New Roman" w:hAnsi="Times New Roman" w:cs="Times New Roman"/>
          <w:sz w:val="24"/>
          <w:szCs w:val="24"/>
        </w:rPr>
      </w:pPr>
      <w:r w:rsidRPr="00DF128A">
        <w:rPr>
          <w:rFonts w:ascii="Times New Roman" w:hAnsi="Times New Roman" w:cs="Times New Roman"/>
          <w:sz w:val="24"/>
          <w:szCs w:val="24"/>
        </w:rPr>
        <w:t>Obr. 3. Mezinárodní databáze pro vyhledávání certifikovaných výrobků (upraveno podle: http://info.fsc.org/)</w:t>
      </w:r>
    </w:p>
    <w:p w:rsidR="00CD0081" w:rsidRDefault="00CD0081" w:rsidP="00622CAB">
      <w:pPr>
        <w:pStyle w:val="Podtitul"/>
        <w:widowControl w:val="0"/>
        <w:spacing w:line="276" w:lineRule="auto"/>
      </w:pPr>
      <w:bookmarkStart w:id="70" w:name="_Toc288999841"/>
      <w:bookmarkStart w:id="71" w:name="_Toc289000308"/>
    </w:p>
    <w:p w:rsidR="00DF128A" w:rsidRPr="00E20A69" w:rsidRDefault="00DF128A" w:rsidP="00E20A69">
      <w:pPr>
        <w:pStyle w:val="Nadpispodkapitoly"/>
        <w:widowControl w:val="0"/>
        <w:spacing w:line="276" w:lineRule="auto"/>
        <w:rPr>
          <w:szCs w:val="24"/>
        </w:rPr>
      </w:pPr>
      <w:r w:rsidRPr="00E20A69">
        <w:rPr>
          <w:szCs w:val="24"/>
        </w:rPr>
        <w:t>Úbytek tropických deštných lesů a globální dopady</w:t>
      </w:r>
      <w:bookmarkEnd w:id="70"/>
      <w:bookmarkEnd w:id="71"/>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Tropický deštný les je zonální ekosystém vytvořený v oblastech humidního až perhumidního makroklimatu v intertropické zóně po obou stranách rovníku. Většina tropických dětných lesů leží v blízkosti rovníku, mezi 10° severní šířky a 10° jižní šířky. Hlavní oblastí je Jižní a Střední Amerika, Západní a Střední Afrika, západní část indického subkontinentu, podstatná část jihovýchodní kontinentální a ostrovní Asie a severovýchod Austrálie. Ve Střední Americe, na východní straně And, v jižní Brazílii, na východě Madagaskaru a v jihovýchodní Asii přesahuje rozšíření tropického deštného lesa 20. rovnoběžku. Výjimkou je východní Afrika, kde se tropické deštné lesy kolem rovníku nevyskytují a jim podobné orobiomy se nacházejí jen na svazích vysokých hor, jako jsou Kilimandžaro nebo Ruwenzori </w:t>
      </w:r>
      <w:r w:rsidR="00CD0081">
        <w:rPr>
          <w:rFonts w:ascii="Times New Roman" w:hAnsi="Times New Roman" w:cs="Times New Roman"/>
          <w:sz w:val="24"/>
          <w:szCs w:val="24"/>
        </w:rPr>
        <w:t>(Jeník</w:t>
      </w:r>
      <w:r w:rsidRPr="00DF128A">
        <w:rPr>
          <w:rFonts w:ascii="Times New Roman" w:hAnsi="Times New Roman" w:cs="Times New Roman"/>
          <w:sz w:val="24"/>
          <w:szCs w:val="24"/>
        </w:rPr>
        <w:t xml:space="preserve"> 1995</w:t>
      </w:r>
      <w:r w:rsidR="00CD0081">
        <w:rPr>
          <w:rFonts w:ascii="Times New Roman" w:hAnsi="Times New Roman" w:cs="Times New Roman"/>
          <w:sz w:val="24"/>
          <w:szCs w:val="24"/>
        </w:rPr>
        <w:t>)</w:t>
      </w:r>
      <w:r w:rsidRPr="00DF128A">
        <w:rPr>
          <w:rFonts w:ascii="Times New Roman" w:hAnsi="Times New Roman" w:cs="Times New Roman"/>
          <w:sz w:val="24"/>
          <w:szCs w:val="24"/>
        </w:rPr>
        <w:t>.</w:t>
      </w:r>
    </w:p>
    <w:p w:rsidR="00622CAB" w:rsidRDefault="00622CAB" w:rsidP="00622CAB">
      <w:pPr>
        <w:pStyle w:val="Nadpispodkapitoly"/>
        <w:widowControl w:val="0"/>
        <w:spacing w:line="276" w:lineRule="auto"/>
        <w:rPr>
          <w:rFonts w:eastAsiaTheme="minorHAnsi"/>
          <w:b w:val="0"/>
          <w:iCs w:val="0"/>
          <w:color w:val="auto"/>
          <w:szCs w:val="24"/>
        </w:rPr>
      </w:pPr>
      <w:bookmarkStart w:id="72" w:name="_Toc288999843"/>
      <w:bookmarkStart w:id="73" w:name="_Toc289000310"/>
    </w:p>
    <w:p w:rsidR="00DF128A" w:rsidRPr="00DF128A" w:rsidRDefault="00DF128A" w:rsidP="00622CAB">
      <w:pPr>
        <w:pStyle w:val="Nadpispodkapitoly"/>
        <w:widowControl w:val="0"/>
        <w:spacing w:line="276" w:lineRule="auto"/>
        <w:rPr>
          <w:szCs w:val="24"/>
        </w:rPr>
      </w:pPr>
      <w:r w:rsidRPr="00DF128A">
        <w:rPr>
          <w:szCs w:val="24"/>
        </w:rPr>
        <w:t>Úbytek tropických deštných lesů</w:t>
      </w:r>
      <w:bookmarkEnd w:id="72"/>
      <w:bookmarkEnd w:id="73"/>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Původní celková plocha tropických deštných lesů byla 16 miliónů km². V současnosti dochází k výraznému úbytku této plochy z důvodu přeměnění na plantáže nebo pastviny, nebo pokrytím druhotným ekosystémem, vzniklým po předchozím vykácení či vypálení lesa </w:t>
      </w:r>
      <w:r w:rsidR="00CD0081">
        <w:rPr>
          <w:rFonts w:ascii="Times New Roman" w:hAnsi="Times New Roman" w:cs="Times New Roman"/>
          <w:sz w:val="24"/>
          <w:szCs w:val="24"/>
        </w:rPr>
        <w:t xml:space="preserve">(Jeník </w:t>
      </w:r>
      <w:r w:rsidRPr="00DF128A">
        <w:rPr>
          <w:rFonts w:ascii="Times New Roman" w:hAnsi="Times New Roman" w:cs="Times New Roman"/>
          <w:sz w:val="24"/>
          <w:szCs w:val="24"/>
        </w:rPr>
        <w:t>1995</w:t>
      </w:r>
      <w:r w:rsidR="00CD0081">
        <w:rPr>
          <w:rFonts w:ascii="Times New Roman" w:hAnsi="Times New Roman" w:cs="Times New Roman"/>
          <w:sz w:val="24"/>
          <w:szCs w:val="24"/>
        </w:rPr>
        <w:t>)</w:t>
      </w:r>
      <w:r w:rsidRPr="00DF128A">
        <w:rPr>
          <w:rFonts w:ascii="Times New Roman" w:hAnsi="Times New Roman" w:cs="Times New Roman"/>
          <w:sz w:val="24"/>
          <w:szCs w:val="24"/>
        </w:rPr>
        <w:t>.</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Odhaduje se, že v původním, nenarušeném stavu zůstalo už jen asi 22 % plochy původních tropických deštných lesů. Každý rok se ztratí plocha o rozloze dvou Českých republik. Závažný problém představuje nelegální těžba dřeva. V brazilské Amazonii je až 80 % stromů pokáceno nezákonně. Přibližně polovina tropického dřeva dováženého do zemí Evropské unie pochází také z nelegálních zdrojů </w:t>
      </w:r>
      <w:r w:rsidR="00CD0081">
        <w:rPr>
          <w:rFonts w:ascii="Times New Roman" w:hAnsi="Times New Roman" w:cs="Times New Roman"/>
          <w:sz w:val="24"/>
          <w:szCs w:val="24"/>
        </w:rPr>
        <w:t>(</w:t>
      </w:r>
      <w:r w:rsidRPr="00DF128A">
        <w:rPr>
          <w:rFonts w:ascii="Times New Roman" w:hAnsi="Times New Roman" w:cs="Times New Roman"/>
          <w:sz w:val="24"/>
          <w:szCs w:val="24"/>
        </w:rPr>
        <w:t>FSC ČR 2009</w:t>
      </w:r>
      <w:r w:rsidR="00CD0081">
        <w:rPr>
          <w:rFonts w:ascii="Times New Roman" w:hAnsi="Times New Roman" w:cs="Times New Roman"/>
          <w:sz w:val="24"/>
          <w:szCs w:val="24"/>
        </w:rPr>
        <w:t>)</w:t>
      </w:r>
      <w:r w:rsidRPr="00DF128A">
        <w:rPr>
          <w:rFonts w:ascii="Times New Roman" w:hAnsi="Times New Roman" w:cs="Times New Roman"/>
          <w:sz w:val="24"/>
          <w:szCs w:val="24"/>
        </w:rPr>
        <w:t>. Dalšími problémy tropického deštného lesa je celkový úbytek plochy vlivem zakládání plantáží užitkových dřevin (kaučukovník, kakaovník, palma olejná) a rozšiřování rýžových polí a rozšiřování pastvin.</w:t>
      </w:r>
    </w:p>
    <w:p w:rsidR="00DF128A" w:rsidRDefault="00DF128A" w:rsidP="00DF128A">
      <w:pPr>
        <w:widowControl w:val="0"/>
        <w:spacing w:line="276" w:lineRule="auto"/>
        <w:ind w:firstLine="709"/>
        <w:jc w:val="both"/>
        <w:rPr>
          <w:rFonts w:ascii="Times New Roman" w:hAnsi="Times New Roman" w:cs="Times New Roman"/>
          <w:sz w:val="24"/>
          <w:szCs w:val="24"/>
        </w:rPr>
      </w:pPr>
    </w:p>
    <w:p w:rsidR="00E20A69" w:rsidRPr="00DF128A" w:rsidRDefault="00E20A69" w:rsidP="00DF128A">
      <w:pPr>
        <w:widowControl w:val="0"/>
        <w:spacing w:line="276" w:lineRule="auto"/>
        <w:ind w:firstLine="709"/>
        <w:jc w:val="both"/>
        <w:rPr>
          <w:rFonts w:ascii="Times New Roman" w:hAnsi="Times New Roman" w:cs="Times New Roman"/>
          <w:sz w:val="24"/>
          <w:szCs w:val="24"/>
        </w:rPr>
      </w:pPr>
    </w:p>
    <w:p w:rsidR="00DF128A" w:rsidRPr="00DF128A" w:rsidRDefault="00DF128A" w:rsidP="00622CAB">
      <w:pPr>
        <w:pStyle w:val="Nadpispodkapitoly"/>
        <w:widowControl w:val="0"/>
        <w:spacing w:line="276" w:lineRule="auto"/>
        <w:rPr>
          <w:szCs w:val="24"/>
        </w:rPr>
      </w:pPr>
      <w:bookmarkStart w:id="74" w:name="_Toc288999844"/>
      <w:bookmarkStart w:id="75" w:name="_Toc289000311"/>
      <w:r w:rsidRPr="00DF128A">
        <w:rPr>
          <w:szCs w:val="24"/>
        </w:rPr>
        <w:lastRenderedPageBreak/>
        <w:t>Globální dopady</w:t>
      </w:r>
      <w:bookmarkEnd w:id="74"/>
      <w:bookmarkEnd w:id="75"/>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Se stále zmenšující se plochou tropických deštných lesů je spojen úbytek celosvětového druhového bohatství (ohrožení biodiverzity), což je považováno za nejzávažnější příznak globální ekologické krize. Každý den vlivem kácení tropických deštných lesů vymírá okolo 80 druhů rostlin a živočichů, tedy tři druhy každou hodinu. Mnoho významných volně žijících druhů již ztratilo většinu stanovišť ve svém původním areálu a chráněn je pouze zlomek těch zbývajících </w:t>
      </w:r>
      <w:r w:rsidR="00CD0081">
        <w:rPr>
          <w:rFonts w:ascii="Times New Roman" w:hAnsi="Times New Roman" w:cs="Times New Roman"/>
          <w:sz w:val="24"/>
          <w:szCs w:val="24"/>
        </w:rPr>
        <w:t>(</w:t>
      </w:r>
      <w:r w:rsidRPr="00DF128A">
        <w:rPr>
          <w:rFonts w:ascii="Times New Roman" w:hAnsi="Times New Roman" w:cs="Times New Roman"/>
          <w:sz w:val="24"/>
          <w:szCs w:val="24"/>
        </w:rPr>
        <w:t>P</w:t>
      </w:r>
      <w:r w:rsidR="00CD0081">
        <w:rPr>
          <w:rFonts w:ascii="Times New Roman" w:hAnsi="Times New Roman" w:cs="Times New Roman"/>
          <w:sz w:val="24"/>
          <w:szCs w:val="24"/>
        </w:rPr>
        <w:t xml:space="preserve">rimack, </w:t>
      </w:r>
      <w:r w:rsidRPr="00DF128A">
        <w:rPr>
          <w:rFonts w:ascii="Times New Roman" w:hAnsi="Times New Roman" w:cs="Times New Roman"/>
          <w:sz w:val="24"/>
          <w:szCs w:val="24"/>
        </w:rPr>
        <w:t>K</w:t>
      </w:r>
      <w:r w:rsidR="00CD0081">
        <w:rPr>
          <w:rFonts w:ascii="Times New Roman" w:hAnsi="Times New Roman" w:cs="Times New Roman"/>
          <w:sz w:val="24"/>
          <w:szCs w:val="24"/>
        </w:rPr>
        <w:t>indlmann</w:t>
      </w:r>
      <w:r w:rsidRPr="00DF128A">
        <w:rPr>
          <w:rFonts w:ascii="Times New Roman" w:hAnsi="Times New Roman" w:cs="Times New Roman"/>
          <w:sz w:val="24"/>
          <w:szCs w:val="24"/>
        </w:rPr>
        <w:t>, J</w:t>
      </w:r>
      <w:r w:rsidR="00CD0081">
        <w:rPr>
          <w:rFonts w:ascii="Times New Roman" w:hAnsi="Times New Roman" w:cs="Times New Roman"/>
          <w:sz w:val="24"/>
          <w:szCs w:val="24"/>
        </w:rPr>
        <w:t>ersáková</w:t>
      </w:r>
      <w:r w:rsidRPr="00DF128A">
        <w:rPr>
          <w:rFonts w:ascii="Times New Roman" w:hAnsi="Times New Roman" w:cs="Times New Roman"/>
          <w:sz w:val="24"/>
          <w:szCs w:val="24"/>
        </w:rPr>
        <w:t xml:space="preserve"> 2001</w:t>
      </w:r>
      <w:r w:rsidR="00CD0081">
        <w:rPr>
          <w:rFonts w:ascii="Times New Roman" w:hAnsi="Times New Roman" w:cs="Times New Roman"/>
          <w:sz w:val="24"/>
          <w:szCs w:val="24"/>
        </w:rPr>
        <w:t>)</w:t>
      </w:r>
      <w:r w:rsidRPr="00DF128A">
        <w:rPr>
          <w:rFonts w:ascii="Times New Roman" w:hAnsi="Times New Roman" w:cs="Times New Roman"/>
          <w:sz w:val="24"/>
          <w:szCs w:val="24"/>
        </w:rPr>
        <w:t>.</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 xml:space="preserve">Tropický deštný les je zároveň stabilizátor životního prostředí Země – je v něm vázáno velké množství oxidu uhličitého a má obrovský podíl na kyslíku už vytvořeném v době jeho růstu, proto je výrazný úbytek lesů považován za jednu z příčin globálního oteplování. Další význam je v potenciálním zdroji genofondu nových zemědělských plodin a léčivých rostlin. Téměř polovina léků pochází z toho ekosystému a nachází se zde další léčivé rostliny, které nebyly doposud důkladně prozkoumány nebo objeveny. Tropické deštné lesy jsou také důležité jako ochrana před záplavami, suchem a erozí </w:t>
      </w:r>
      <w:r w:rsidR="00CD0081">
        <w:rPr>
          <w:rFonts w:ascii="Times New Roman" w:hAnsi="Times New Roman" w:cs="Times New Roman"/>
          <w:sz w:val="24"/>
          <w:szCs w:val="24"/>
        </w:rPr>
        <w:t>(</w:t>
      </w:r>
      <w:r w:rsidRPr="00DF128A">
        <w:rPr>
          <w:rFonts w:ascii="Times New Roman" w:hAnsi="Times New Roman" w:cs="Times New Roman"/>
          <w:sz w:val="24"/>
          <w:szCs w:val="24"/>
        </w:rPr>
        <w:t>J</w:t>
      </w:r>
      <w:r w:rsidR="00CD0081">
        <w:rPr>
          <w:rFonts w:ascii="Times New Roman" w:hAnsi="Times New Roman" w:cs="Times New Roman"/>
          <w:sz w:val="24"/>
          <w:szCs w:val="24"/>
        </w:rPr>
        <w:t>eník</w:t>
      </w:r>
      <w:r w:rsidRPr="00DF128A">
        <w:rPr>
          <w:rFonts w:ascii="Times New Roman" w:hAnsi="Times New Roman" w:cs="Times New Roman"/>
          <w:sz w:val="24"/>
          <w:szCs w:val="24"/>
        </w:rPr>
        <w:t xml:space="preserve"> 1995</w:t>
      </w:r>
      <w:r w:rsidR="00CD0081">
        <w:rPr>
          <w:rFonts w:ascii="Times New Roman" w:hAnsi="Times New Roman" w:cs="Times New Roman"/>
          <w:sz w:val="24"/>
          <w:szCs w:val="24"/>
        </w:rPr>
        <w:t>)</w:t>
      </w:r>
      <w:r w:rsidRPr="00DF128A">
        <w:rPr>
          <w:rFonts w:ascii="Times New Roman" w:hAnsi="Times New Roman" w:cs="Times New Roman"/>
          <w:sz w:val="24"/>
          <w:szCs w:val="24"/>
        </w:rPr>
        <w:t xml:space="preserve">. </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E20A69" w:rsidRDefault="00E20A69" w:rsidP="00E20A69">
      <w:pPr>
        <w:pStyle w:val="Nadpispodkapitoly"/>
        <w:widowControl w:val="0"/>
        <w:spacing w:line="276" w:lineRule="auto"/>
        <w:rPr>
          <w:szCs w:val="24"/>
        </w:rPr>
      </w:pPr>
      <w:r w:rsidRPr="00E20A69">
        <w:rPr>
          <w:szCs w:val="24"/>
        </w:rPr>
        <w:t>Závěr</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r w:rsidRPr="00DF128A">
        <w:rPr>
          <w:rFonts w:ascii="Times New Roman" w:hAnsi="Times New Roman" w:cs="Times New Roman"/>
          <w:sz w:val="24"/>
          <w:szCs w:val="24"/>
        </w:rPr>
        <w:t>V seminární práci jsem se snažila o podrobnější pohled na organizaci FSC a přiblížení její činnosti ostatním. Ve své oblasti působnosti nemá FSC konkurenci, svým certifikačním systémem výrazně přispívá v boji proti nelegální těžbě dřeva. Zároveň si je vědoma obrovské důležitosti lesu jako globálního ekosystému a snaží se ho šetrným hospodařením neničit a zachovat v původní podobě pro další generace. Na zemi přibývá stále více FSC certifikovaných výrobků a lesů, snad bude tento trend i nadále pokračovat a pomůže zlepšit výrazné snižování plochy tropických deštných lesů.</w:t>
      </w:r>
    </w:p>
    <w:p w:rsidR="00DF128A" w:rsidRPr="00DF128A" w:rsidRDefault="00DF128A" w:rsidP="00DF128A">
      <w:pPr>
        <w:widowControl w:val="0"/>
        <w:spacing w:line="276" w:lineRule="auto"/>
        <w:ind w:firstLine="709"/>
        <w:jc w:val="both"/>
        <w:rPr>
          <w:rFonts w:ascii="Times New Roman" w:hAnsi="Times New Roman" w:cs="Times New Roman"/>
          <w:sz w:val="24"/>
          <w:szCs w:val="24"/>
        </w:rPr>
      </w:pPr>
    </w:p>
    <w:p w:rsidR="00DF128A" w:rsidRPr="00CD0081" w:rsidRDefault="00DF128A" w:rsidP="00CD0081">
      <w:pPr>
        <w:pStyle w:val="Podtitul"/>
        <w:widowControl w:val="0"/>
        <w:spacing w:line="276" w:lineRule="auto"/>
      </w:pPr>
      <w:bookmarkStart w:id="76" w:name="_Toc288999846"/>
      <w:bookmarkStart w:id="77" w:name="_Toc289000313"/>
      <w:r w:rsidRPr="00CD0081">
        <w:t>literatura</w:t>
      </w:r>
      <w:bookmarkEnd w:id="76"/>
      <w:bookmarkEnd w:id="77"/>
      <w:r w:rsidR="00E20A69">
        <w:t xml:space="preserve"> a zdroje</w:t>
      </w:r>
    </w:p>
    <w:p w:rsidR="00DF128A" w:rsidRPr="00CD0081" w:rsidRDefault="00DF128A" w:rsidP="00CD0081">
      <w:pPr>
        <w:widowControl w:val="0"/>
        <w:spacing w:after="120" w:line="276" w:lineRule="auto"/>
        <w:jc w:val="both"/>
        <w:rPr>
          <w:rFonts w:ascii="Times New Roman" w:hAnsi="Times New Roman" w:cs="Times New Roman"/>
          <w:iCs/>
          <w:sz w:val="20"/>
          <w:szCs w:val="20"/>
        </w:rPr>
      </w:pPr>
      <w:r w:rsidRPr="00CD0081">
        <w:rPr>
          <w:rFonts w:ascii="Times New Roman" w:hAnsi="Times New Roman" w:cs="Times New Roman"/>
          <w:iCs/>
          <w:sz w:val="20"/>
          <w:szCs w:val="20"/>
        </w:rPr>
        <w:t>J</w:t>
      </w:r>
      <w:r w:rsidR="00CD0081" w:rsidRPr="00CD0081">
        <w:rPr>
          <w:rFonts w:ascii="Times New Roman" w:hAnsi="Times New Roman" w:cs="Times New Roman"/>
          <w:iCs/>
          <w:sz w:val="20"/>
          <w:szCs w:val="20"/>
        </w:rPr>
        <w:t>eník</w:t>
      </w:r>
      <w:r w:rsidRPr="00CD0081">
        <w:rPr>
          <w:rFonts w:ascii="Times New Roman" w:hAnsi="Times New Roman" w:cs="Times New Roman"/>
          <w:iCs/>
          <w:sz w:val="20"/>
          <w:szCs w:val="20"/>
        </w:rPr>
        <w:t>, J.</w:t>
      </w:r>
      <w:r w:rsidR="00CD0081" w:rsidRPr="00CD0081">
        <w:rPr>
          <w:rFonts w:ascii="Times New Roman" w:hAnsi="Times New Roman" w:cs="Times New Roman"/>
          <w:iCs/>
          <w:sz w:val="20"/>
          <w:szCs w:val="20"/>
        </w:rPr>
        <w:t xml:space="preserve"> (1995)</w:t>
      </w:r>
      <w:r w:rsidRPr="00CD0081">
        <w:rPr>
          <w:rFonts w:ascii="Times New Roman" w:hAnsi="Times New Roman" w:cs="Times New Roman"/>
          <w:iCs/>
          <w:sz w:val="20"/>
          <w:szCs w:val="20"/>
        </w:rPr>
        <w:t xml:space="preserve">: </w:t>
      </w:r>
      <w:r w:rsidRPr="00CD0081">
        <w:rPr>
          <w:rFonts w:ascii="Times New Roman" w:hAnsi="Times New Roman" w:cs="Times New Roman"/>
          <w:i/>
          <w:iCs/>
          <w:sz w:val="20"/>
          <w:szCs w:val="20"/>
        </w:rPr>
        <w:t>Ekosystémy: úvod do organizace zonálních a azonálních biomů</w:t>
      </w:r>
      <w:r w:rsidRPr="00CD0081">
        <w:rPr>
          <w:rFonts w:ascii="Times New Roman" w:hAnsi="Times New Roman" w:cs="Times New Roman"/>
          <w:iCs/>
          <w:sz w:val="20"/>
          <w:szCs w:val="20"/>
        </w:rPr>
        <w:t>. Praha</w:t>
      </w:r>
      <w:r w:rsidR="00CD0081" w:rsidRPr="00CD0081">
        <w:rPr>
          <w:rFonts w:ascii="Times New Roman" w:hAnsi="Times New Roman" w:cs="Times New Roman"/>
          <w:iCs/>
          <w:sz w:val="20"/>
          <w:szCs w:val="20"/>
        </w:rPr>
        <w:t>: Karolinum</w:t>
      </w:r>
      <w:r w:rsidRPr="00CD0081">
        <w:rPr>
          <w:rFonts w:ascii="Times New Roman" w:hAnsi="Times New Roman" w:cs="Times New Roman"/>
          <w:iCs/>
          <w:sz w:val="20"/>
          <w:szCs w:val="20"/>
        </w:rPr>
        <w:t>.</w:t>
      </w:r>
    </w:p>
    <w:p w:rsidR="00CD0081" w:rsidRPr="00CD0081" w:rsidRDefault="00DF128A" w:rsidP="00CD0081">
      <w:pPr>
        <w:widowControl w:val="0"/>
        <w:spacing w:after="120" w:line="276" w:lineRule="auto"/>
        <w:jc w:val="both"/>
        <w:rPr>
          <w:rFonts w:ascii="Times New Roman" w:hAnsi="Times New Roman" w:cs="Times New Roman"/>
          <w:iCs/>
          <w:sz w:val="20"/>
          <w:szCs w:val="20"/>
        </w:rPr>
      </w:pPr>
      <w:r w:rsidRPr="00CD0081">
        <w:rPr>
          <w:rFonts w:ascii="Times New Roman" w:hAnsi="Times New Roman" w:cs="Times New Roman"/>
          <w:iCs/>
          <w:sz w:val="20"/>
          <w:szCs w:val="20"/>
        </w:rPr>
        <w:t>P</w:t>
      </w:r>
      <w:r w:rsidR="00CD0081" w:rsidRPr="00CD0081">
        <w:rPr>
          <w:rFonts w:ascii="Times New Roman" w:hAnsi="Times New Roman" w:cs="Times New Roman"/>
          <w:iCs/>
          <w:sz w:val="20"/>
          <w:szCs w:val="20"/>
        </w:rPr>
        <w:t>rimack</w:t>
      </w:r>
      <w:r w:rsidRPr="00CD0081">
        <w:rPr>
          <w:rFonts w:ascii="Times New Roman" w:hAnsi="Times New Roman" w:cs="Times New Roman"/>
          <w:iCs/>
          <w:sz w:val="20"/>
          <w:szCs w:val="20"/>
        </w:rPr>
        <w:t>, R. B., K</w:t>
      </w:r>
      <w:r w:rsidR="00CD0081" w:rsidRPr="00CD0081">
        <w:rPr>
          <w:rFonts w:ascii="Times New Roman" w:hAnsi="Times New Roman" w:cs="Times New Roman"/>
          <w:iCs/>
          <w:sz w:val="20"/>
          <w:szCs w:val="20"/>
        </w:rPr>
        <w:t>indlmann</w:t>
      </w:r>
      <w:r w:rsidRPr="00CD0081">
        <w:rPr>
          <w:rFonts w:ascii="Times New Roman" w:hAnsi="Times New Roman" w:cs="Times New Roman"/>
          <w:iCs/>
          <w:sz w:val="20"/>
          <w:szCs w:val="20"/>
        </w:rPr>
        <w:t>, P., J</w:t>
      </w:r>
      <w:r w:rsidR="00CD0081" w:rsidRPr="00CD0081">
        <w:rPr>
          <w:rFonts w:ascii="Times New Roman" w:hAnsi="Times New Roman" w:cs="Times New Roman"/>
          <w:iCs/>
          <w:sz w:val="20"/>
          <w:szCs w:val="20"/>
        </w:rPr>
        <w:t>ersáková</w:t>
      </w:r>
      <w:r w:rsidRPr="00CD0081">
        <w:rPr>
          <w:rFonts w:ascii="Times New Roman" w:hAnsi="Times New Roman" w:cs="Times New Roman"/>
          <w:iCs/>
          <w:sz w:val="20"/>
          <w:szCs w:val="20"/>
        </w:rPr>
        <w:t>, J.</w:t>
      </w:r>
      <w:r w:rsidR="00CD0081" w:rsidRPr="00CD0081">
        <w:rPr>
          <w:rFonts w:ascii="Times New Roman" w:hAnsi="Times New Roman" w:cs="Times New Roman"/>
          <w:iCs/>
          <w:sz w:val="20"/>
          <w:szCs w:val="20"/>
        </w:rPr>
        <w:t xml:space="preserve"> (2001)</w:t>
      </w:r>
      <w:r w:rsidRPr="00CD0081">
        <w:rPr>
          <w:rFonts w:ascii="Times New Roman" w:hAnsi="Times New Roman" w:cs="Times New Roman"/>
          <w:iCs/>
          <w:sz w:val="20"/>
          <w:szCs w:val="20"/>
        </w:rPr>
        <w:t>: Biologické principy ochrany přírody. Praha</w:t>
      </w:r>
      <w:r w:rsidR="00CD0081" w:rsidRPr="00CD0081">
        <w:rPr>
          <w:rFonts w:ascii="Times New Roman" w:hAnsi="Times New Roman" w:cs="Times New Roman"/>
          <w:iCs/>
          <w:sz w:val="20"/>
          <w:szCs w:val="20"/>
        </w:rPr>
        <w:t xml:space="preserve">: Portál. </w:t>
      </w:r>
    </w:p>
    <w:p w:rsidR="00DF128A" w:rsidRPr="00CD0081" w:rsidRDefault="00DF128A" w:rsidP="00CD0081">
      <w:pPr>
        <w:widowControl w:val="0"/>
        <w:spacing w:after="120" w:line="276" w:lineRule="auto"/>
        <w:jc w:val="both"/>
        <w:rPr>
          <w:rFonts w:ascii="Times New Roman" w:hAnsi="Times New Roman" w:cs="Times New Roman"/>
          <w:iCs/>
          <w:sz w:val="20"/>
          <w:szCs w:val="20"/>
        </w:rPr>
      </w:pPr>
      <w:r w:rsidRPr="00CD0081">
        <w:rPr>
          <w:rFonts w:ascii="Times New Roman" w:hAnsi="Times New Roman" w:cs="Times New Roman"/>
          <w:i/>
          <w:iCs/>
          <w:sz w:val="20"/>
          <w:szCs w:val="20"/>
        </w:rPr>
        <w:t>Diskusní portál k místní Agendě 21 a místní Akci 21</w:t>
      </w:r>
      <w:r w:rsidRPr="00CD0081">
        <w:rPr>
          <w:rFonts w:ascii="Times New Roman" w:hAnsi="Times New Roman" w:cs="Times New Roman"/>
          <w:iCs/>
          <w:sz w:val="20"/>
          <w:szCs w:val="20"/>
        </w:rPr>
        <w:t xml:space="preserve">. </w:t>
      </w:r>
      <w:r w:rsidR="00CD0081" w:rsidRPr="00CD0081">
        <w:rPr>
          <w:rFonts w:ascii="Times New Roman" w:hAnsi="Times New Roman" w:cs="Times New Roman"/>
          <w:sz w:val="20"/>
          <w:szCs w:val="20"/>
        </w:rPr>
        <w:t>Agenda 21</w:t>
      </w:r>
      <w:r w:rsidR="00CD0081">
        <w:rPr>
          <w:rFonts w:ascii="Times New Roman" w:hAnsi="Times New Roman" w:cs="Times New Roman"/>
          <w:sz w:val="20"/>
          <w:szCs w:val="20"/>
        </w:rPr>
        <w:t>,</w:t>
      </w:r>
      <w:r w:rsidRPr="00CD0081">
        <w:rPr>
          <w:rFonts w:ascii="Times New Roman" w:hAnsi="Times New Roman" w:cs="Times New Roman"/>
          <w:iCs/>
          <w:sz w:val="20"/>
          <w:szCs w:val="20"/>
        </w:rPr>
        <w:t xml:space="preserve"> 2002</w:t>
      </w:r>
      <w:r w:rsidR="00CD0081">
        <w:rPr>
          <w:rFonts w:ascii="Times New Roman" w:hAnsi="Times New Roman" w:cs="Times New Roman"/>
          <w:iCs/>
          <w:sz w:val="20"/>
          <w:szCs w:val="20"/>
        </w:rPr>
        <w:t>.</w:t>
      </w:r>
      <w:r w:rsidRPr="00CD0081">
        <w:rPr>
          <w:rFonts w:ascii="Times New Roman" w:hAnsi="Times New Roman" w:cs="Times New Roman"/>
          <w:iCs/>
          <w:sz w:val="20"/>
          <w:szCs w:val="20"/>
        </w:rPr>
        <w:t xml:space="preserve"> </w:t>
      </w:r>
      <w:r w:rsidR="003A1C5E" w:rsidRPr="0012130E">
        <w:rPr>
          <w:rFonts w:ascii="Times New Roman" w:hAnsi="Times New Roman" w:cs="Times New Roman"/>
          <w:sz w:val="20"/>
          <w:szCs w:val="20"/>
        </w:rPr>
        <w:t xml:space="preserve">[cit. 20. července 2011]. Dostupný online </w:t>
      </w:r>
      <w:r w:rsidR="003A1C5E" w:rsidRPr="0012130E">
        <w:rPr>
          <w:rFonts w:ascii="Times New Roman" w:hAnsi="Times New Roman" w:cs="Times New Roman"/>
          <w:iCs/>
          <w:sz w:val="20"/>
          <w:szCs w:val="20"/>
        </w:rPr>
        <w:t>&lt;</w:t>
      </w:r>
      <w:r w:rsidRPr="00CD0081">
        <w:rPr>
          <w:rFonts w:ascii="Times New Roman" w:hAnsi="Times New Roman" w:cs="Times New Roman"/>
          <w:iCs/>
          <w:sz w:val="20"/>
          <w:szCs w:val="20"/>
        </w:rPr>
        <w:t>http://www.agenda21.cz/&gt;.</w:t>
      </w:r>
    </w:p>
    <w:p w:rsidR="00DF128A" w:rsidRPr="00CD0081" w:rsidRDefault="00DF128A" w:rsidP="00CD0081">
      <w:pPr>
        <w:widowControl w:val="0"/>
        <w:spacing w:after="120" w:line="276" w:lineRule="auto"/>
        <w:jc w:val="both"/>
        <w:rPr>
          <w:rFonts w:ascii="Times New Roman" w:hAnsi="Times New Roman" w:cs="Times New Roman"/>
          <w:iCs/>
          <w:sz w:val="20"/>
          <w:szCs w:val="20"/>
        </w:rPr>
      </w:pPr>
      <w:r w:rsidRPr="00CD0081">
        <w:rPr>
          <w:rFonts w:ascii="Times New Roman" w:hAnsi="Times New Roman" w:cs="Times New Roman"/>
          <w:i/>
          <w:iCs/>
          <w:sz w:val="20"/>
          <w:szCs w:val="20"/>
        </w:rPr>
        <w:t>FSC Certificate Database?</w:t>
      </w:r>
      <w:r w:rsidRPr="00CD0081">
        <w:rPr>
          <w:rFonts w:ascii="Times New Roman" w:hAnsi="Times New Roman" w:cs="Times New Roman"/>
          <w:iCs/>
          <w:sz w:val="20"/>
          <w:szCs w:val="20"/>
        </w:rPr>
        <w:t xml:space="preserve">. </w:t>
      </w:r>
      <w:r w:rsidR="00CD0081" w:rsidRPr="00CD0081">
        <w:rPr>
          <w:rFonts w:ascii="Times New Roman" w:hAnsi="Times New Roman" w:cs="Times New Roman"/>
          <w:iCs/>
          <w:sz w:val="20"/>
          <w:szCs w:val="20"/>
        </w:rPr>
        <w:t>FSC</w:t>
      </w:r>
      <w:r w:rsidR="00CD0081">
        <w:rPr>
          <w:rFonts w:ascii="Times New Roman" w:hAnsi="Times New Roman" w:cs="Times New Roman"/>
          <w:iCs/>
          <w:sz w:val="20"/>
          <w:szCs w:val="20"/>
        </w:rPr>
        <w:t>,</w:t>
      </w:r>
      <w:r w:rsidR="00CD0081" w:rsidRPr="00CD0081">
        <w:rPr>
          <w:rFonts w:ascii="Times New Roman" w:hAnsi="Times New Roman" w:cs="Times New Roman"/>
          <w:iCs/>
          <w:sz w:val="20"/>
          <w:szCs w:val="20"/>
        </w:rPr>
        <w:t xml:space="preserve"> </w:t>
      </w:r>
      <w:r w:rsidRPr="00CD0081">
        <w:rPr>
          <w:rFonts w:ascii="Times New Roman" w:hAnsi="Times New Roman" w:cs="Times New Roman"/>
          <w:iCs/>
          <w:sz w:val="20"/>
          <w:szCs w:val="20"/>
        </w:rPr>
        <w:t>2009</w:t>
      </w:r>
      <w:r w:rsidR="00CD0081">
        <w:rPr>
          <w:rFonts w:ascii="Times New Roman" w:hAnsi="Times New Roman" w:cs="Times New Roman"/>
          <w:iCs/>
          <w:sz w:val="20"/>
          <w:szCs w:val="20"/>
        </w:rPr>
        <w:t>.</w:t>
      </w:r>
      <w:r w:rsidRPr="00CD0081">
        <w:rPr>
          <w:rFonts w:ascii="Times New Roman" w:hAnsi="Times New Roman" w:cs="Times New Roman"/>
          <w:iCs/>
          <w:sz w:val="20"/>
          <w:szCs w:val="20"/>
        </w:rPr>
        <w:t xml:space="preserve"> </w:t>
      </w:r>
      <w:r w:rsidR="003A1C5E" w:rsidRPr="0012130E">
        <w:rPr>
          <w:rFonts w:ascii="Times New Roman" w:hAnsi="Times New Roman" w:cs="Times New Roman"/>
          <w:sz w:val="20"/>
          <w:szCs w:val="20"/>
        </w:rPr>
        <w:t xml:space="preserve">[cit. 20. července 2011]. Dostupný online </w:t>
      </w:r>
      <w:r w:rsidR="003A1C5E" w:rsidRPr="0012130E">
        <w:rPr>
          <w:rFonts w:ascii="Times New Roman" w:hAnsi="Times New Roman" w:cs="Times New Roman"/>
          <w:iCs/>
          <w:sz w:val="20"/>
          <w:szCs w:val="20"/>
        </w:rPr>
        <w:t>&lt;</w:t>
      </w:r>
      <w:r w:rsidRPr="00CD0081">
        <w:rPr>
          <w:rFonts w:ascii="Times New Roman" w:hAnsi="Times New Roman" w:cs="Times New Roman"/>
          <w:iCs/>
          <w:sz w:val="20"/>
          <w:szCs w:val="20"/>
        </w:rPr>
        <w:t>http://info.fsc.org/&gt;.</w:t>
      </w:r>
    </w:p>
    <w:p w:rsidR="00DF128A" w:rsidRPr="00CD0081" w:rsidRDefault="00DF128A" w:rsidP="00CD0081">
      <w:pPr>
        <w:widowControl w:val="0"/>
        <w:spacing w:after="120" w:line="276" w:lineRule="auto"/>
        <w:jc w:val="both"/>
        <w:rPr>
          <w:rFonts w:ascii="Times New Roman" w:hAnsi="Times New Roman" w:cs="Times New Roman"/>
          <w:iCs/>
          <w:sz w:val="20"/>
          <w:szCs w:val="20"/>
        </w:rPr>
      </w:pPr>
      <w:r w:rsidRPr="00CD0081">
        <w:rPr>
          <w:rFonts w:ascii="Times New Roman" w:hAnsi="Times New Roman" w:cs="Times New Roman"/>
          <w:i/>
          <w:iCs/>
          <w:sz w:val="20"/>
          <w:szCs w:val="20"/>
        </w:rPr>
        <w:t>Co to je FSC?</w:t>
      </w:r>
      <w:r w:rsidRPr="00CD0081">
        <w:rPr>
          <w:rFonts w:ascii="Times New Roman" w:hAnsi="Times New Roman" w:cs="Times New Roman"/>
          <w:iCs/>
          <w:sz w:val="20"/>
          <w:szCs w:val="20"/>
        </w:rPr>
        <w:t xml:space="preserve">. </w:t>
      </w:r>
      <w:r w:rsidR="00CD0081" w:rsidRPr="00CD0081">
        <w:rPr>
          <w:rFonts w:ascii="Times New Roman" w:hAnsi="Times New Roman" w:cs="Times New Roman"/>
          <w:iCs/>
          <w:sz w:val="20"/>
          <w:szCs w:val="20"/>
        </w:rPr>
        <w:t>FSC ČR,</w:t>
      </w:r>
      <w:r w:rsidR="00CD0081">
        <w:rPr>
          <w:rFonts w:ascii="Times New Roman" w:hAnsi="Times New Roman" w:cs="Times New Roman"/>
          <w:iCs/>
          <w:sz w:val="20"/>
          <w:szCs w:val="20"/>
        </w:rPr>
        <w:t xml:space="preserve"> </w:t>
      </w:r>
      <w:r w:rsidRPr="00CD0081">
        <w:rPr>
          <w:rFonts w:ascii="Times New Roman" w:hAnsi="Times New Roman" w:cs="Times New Roman"/>
          <w:iCs/>
          <w:sz w:val="20"/>
          <w:szCs w:val="20"/>
        </w:rPr>
        <w:t xml:space="preserve">2009 </w:t>
      </w:r>
      <w:r w:rsidR="003A1C5E" w:rsidRPr="0012130E">
        <w:rPr>
          <w:rFonts w:ascii="Times New Roman" w:hAnsi="Times New Roman" w:cs="Times New Roman"/>
          <w:sz w:val="20"/>
          <w:szCs w:val="20"/>
        </w:rPr>
        <w:t xml:space="preserve">[cit. 20. července 2011]. Dostupný online </w:t>
      </w:r>
      <w:r w:rsidR="003A1C5E" w:rsidRPr="0012130E">
        <w:rPr>
          <w:rFonts w:ascii="Times New Roman" w:hAnsi="Times New Roman" w:cs="Times New Roman"/>
          <w:iCs/>
          <w:sz w:val="20"/>
          <w:szCs w:val="20"/>
        </w:rPr>
        <w:t>&lt;</w:t>
      </w:r>
      <w:r w:rsidRPr="00CD0081">
        <w:rPr>
          <w:rFonts w:ascii="Times New Roman" w:hAnsi="Times New Roman" w:cs="Times New Roman"/>
          <w:iCs/>
          <w:sz w:val="20"/>
          <w:szCs w:val="20"/>
        </w:rPr>
        <w:t>http://www.czechfsc.cz/faq/co-to-je-fsc-.html&gt;.</w:t>
      </w:r>
    </w:p>
    <w:p w:rsidR="00DF128A" w:rsidRPr="00CD0081" w:rsidRDefault="00DF128A" w:rsidP="00CD0081">
      <w:pPr>
        <w:widowControl w:val="0"/>
        <w:spacing w:after="120" w:line="276" w:lineRule="auto"/>
        <w:jc w:val="both"/>
        <w:rPr>
          <w:rFonts w:ascii="Times New Roman" w:hAnsi="Times New Roman" w:cs="Times New Roman"/>
          <w:iCs/>
          <w:sz w:val="20"/>
          <w:szCs w:val="20"/>
        </w:rPr>
      </w:pPr>
      <w:r w:rsidRPr="00CD0081">
        <w:rPr>
          <w:rFonts w:ascii="Times New Roman" w:hAnsi="Times New Roman" w:cs="Times New Roman"/>
          <w:i/>
          <w:iCs/>
          <w:sz w:val="20"/>
          <w:szCs w:val="20"/>
        </w:rPr>
        <w:t>Co je to FSC certifikace?</w:t>
      </w:r>
      <w:r w:rsidRPr="00CD0081">
        <w:rPr>
          <w:rFonts w:ascii="Times New Roman" w:hAnsi="Times New Roman" w:cs="Times New Roman"/>
          <w:iCs/>
          <w:sz w:val="20"/>
          <w:szCs w:val="20"/>
        </w:rPr>
        <w:t xml:space="preserve">. </w:t>
      </w:r>
      <w:r w:rsidR="00CD0081" w:rsidRPr="00CD0081">
        <w:rPr>
          <w:rFonts w:ascii="Times New Roman" w:hAnsi="Times New Roman" w:cs="Times New Roman"/>
          <w:iCs/>
          <w:sz w:val="20"/>
          <w:szCs w:val="20"/>
        </w:rPr>
        <w:t>FSC ČR,</w:t>
      </w:r>
      <w:r w:rsidR="00CD0081">
        <w:rPr>
          <w:rFonts w:ascii="Times New Roman" w:hAnsi="Times New Roman" w:cs="Times New Roman"/>
          <w:iCs/>
          <w:sz w:val="20"/>
          <w:szCs w:val="20"/>
        </w:rPr>
        <w:t xml:space="preserve"> </w:t>
      </w:r>
      <w:r w:rsidRPr="00CD0081">
        <w:rPr>
          <w:rFonts w:ascii="Times New Roman" w:hAnsi="Times New Roman" w:cs="Times New Roman"/>
          <w:iCs/>
          <w:sz w:val="20"/>
          <w:szCs w:val="20"/>
        </w:rPr>
        <w:t>2009</w:t>
      </w:r>
      <w:r w:rsidR="003A1C5E">
        <w:rPr>
          <w:rFonts w:ascii="Times New Roman" w:hAnsi="Times New Roman" w:cs="Times New Roman"/>
          <w:iCs/>
          <w:sz w:val="20"/>
          <w:szCs w:val="20"/>
        </w:rPr>
        <w:t>.</w:t>
      </w:r>
      <w:r w:rsidRPr="00CD0081">
        <w:rPr>
          <w:rFonts w:ascii="Times New Roman" w:hAnsi="Times New Roman" w:cs="Times New Roman"/>
          <w:iCs/>
          <w:sz w:val="20"/>
          <w:szCs w:val="20"/>
        </w:rPr>
        <w:t xml:space="preserve"> </w:t>
      </w:r>
      <w:r w:rsidR="003A1C5E" w:rsidRPr="0012130E">
        <w:rPr>
          <w:rFonts w:ascii="Times New Roman" w:hAnsi="Times New Roman" w:cs="Times New Roman"/>
          <w:sz w:val="20"/>
          <w:szCs w:val="20"/>
        </w:rPr>
        <w:t xml:space="preserve">[cit. 20. července 2011]. Dostupný online </w:t>
      </w:r>
      <w:r w:rsidR="003A1C5E" w:rsidRPr="0012130E">
        <w:rPr>
          <w:rFonts w:ascii="Times New Roman" w:hAnsi="Times New Roman" w:cs="Times New Roman"/>
          <w:iCs/>
          <w:sz w:val="20"/>
          <w:szCs w:val="20"/>
        </w:rPr>
        <w:t>&lt;</w:t>
      </w:r>
      <w:r w:rsidRPr="00CD0081">
        <w:rPr>
          <w:rFonts w:ascii="Times New Roman" w:hAnsi="Times New Roman" w:cs="Times New Roman"/>
          <w:iCs/>
          <w:sz w:val="20"/>
          <w:szCs w:val="20"/>
        </w:rPr>
        <w:t>http://www.czechfsc.cz/fsc-certifikace/co-je-to-fsc-certifikace--/&gt;.</w:t>
      </w:r>
    </w:p>
    <w:p w:rsidR="00DF128A" w:rsidRPr="00CD0081" w:rsidRDefault="00DF128A" w:rsidP="00CD0081">
      <w:pPr>
        <w:widowControl w:val="0"/>
        <w:spacing w:after="120" w:line="276" w:lineRule="auto"/>
        <w:jc w:val="both"/>
        <w:rPr>
          <w:rFonts w:ascii="Times New Roman" w:hAnsi="Times New Roman" w:cs="Times New Roman"/>
          <w:iCs/>
          <w:sz w:val="20"/>
          <w:szCs w:val="20"/>
        </w:rPr>
      </w:pPr>
      <w:r w:rsidRPr="00CD0081">
        <w:rPr>
          <w:rFonts w:ascii="Times New Roman" w:hAnsi="Times New Roman" w:cs="Times New Roman"/>
          <w:i/>
          <w:iCs/>
          <w:sz w:val="20"/>
          <w:szCs w:val="20"/>
        </w:rPr>
        <w:t>Jak vypadá FSC certifikace?</w:t>
      </w:r>
      <w:r w:rsidRPr="00CD0081">
        <w:rPr>
          <w:rFonts w:ascii="Times New Roman" w:hAnsi="Times New Roman" w:cs="Times New Roman"/>
          <w:iCs/>
          <w:sz w:val="20"/>
          <w:szCs w:val="20"/>
        </w:rPr>
        <w:t xml:space="preserve">. </w:t>
      </w:r>
      <w:r w:rsidR="00CD0081" w:rsidRPr="00CD0081">
        <w:rPr>
          <w:rFonts w:ascii="Times New Roman" w:hAnsi="Times New Roman" w:cs="Times New Roman"/>
          <w:iCs/>
          <w:sz w:val="20"/>
          <w:szCs w:val="20"/>
        </w:rPr>
        <w:t>FSC ČR,</w:t>
      </w:r>
      <w:r w:rsidR="00CD0081">
        <w:rPr>
          <w:rFonts w:ascii="Times New Roman" w:hAnsi="Times New Roman" w:cs="Times New Roman"/>
          <w:iCs/>
          <w:sz w:val="20"/>
          <w:szCs w:val="20"/>
        </w:rPr>
        <w:t xml:space="preserve"> </w:t>
      </w:r>
      <w:r w:rsidRPr="00CD0081">
        <w:rPr>
          <w:rFonts w:ascii="Times New Roman" w:hAnsi="Times New Roman" w:cs="Times New Roman"/>
          <w:iCs/>
          <w:sz w:val="20"/>
          <w:szCs w:val="20"/>
        </w:rPr>
        <w:t>2009</w:t>
      </w:r>
      <w:r w:rsidR="003A1C5E">
        <w:rPr>
          <w:rFonts w:ascii="Times New Roman" w:hAnsi="Times New Roman" w:cs="Times New Roman"/>
          <w:iCs/>
          <w:sz w:val="20"/>
          <w:szCs w:val="20"/>
        </w:rPr>
        <w:t>.</w:t>
      </w:r>
      <w:r w:rsidRPr="00CD0081">
        <w:rPr>
          <w:rFonts w:ascii="Times New Roman" w:hAnsi="Times New Roman" w:cs="Times New Roman"/>
          <w:iCs/>
          <w:sz w:val="20"/>
          <w:szCs w:val="20"/>
        </w:rPr>
        <w:t xml:space="preserve"> [cit. 2011-03-25]. Dostupné z WWW: &lt; http://www.czechfsc.cz/faq/jak-vypada-fsc-certifikace-.html&gt;.</w:t>
      </w:r>
    </w:p>
    <w:p w:rsidR="00DF128A" w:rsidRPr="00CD0081" w:rsidRDefault="00DF128A" w:rsidP="00CD0081">
      <w:pPr>
        <w:widowControl w:val="0"/>
        <w:spacing w:after="120" w:line="276" w:lineRule="auto"/>
        <w:jc w:val="both"/>
        <w:rPr>
          <w:rFonts w:ascii="Times New Roman" w:hAnsi="Times New Roman" w:cs="Times New Roman"/>
          <w:iCs/>
          <w:sz w:val="20"/>
          <w:szCs w:val="20"/>
        </w:rPr>
      </w:pPr>
      <w:r w:rsidRPr="00CD0081">
        <w:rPr>
          <w:rFonts w:ascii="Times New Roman" w:hAnsi="Times New Roman" w:cs="Times New Roman"/>
          <w:i/>
          <w:iCs/>
          <w:sz w:val="20"/>
          <w:szCs w:val="20"/>
        </w:rPr>
        <w:t>Proč se certifikovat?</w:t>
      </w:r>
      <w:r w:rsidRPr="00CD0081">
        <w:rPr>
          <w:rFonts w:ascii="Times New Roman" w:hAnsi="Times New Roman" w:cs="Times New Roman"/>
          <w:iCs/>
          <w:sz w:val="20"/>
          <w:szCs w:val="20"/>
        </w:rPr>
        <w:t xml:space="preserve">. </w:t>
      </w:r>
      <w:r w:rsidR="00CD0081" w:rsidRPr="00CD0081">
        <w:rPr>
          <w:rFonts w:ascii="Times New Roman" w:hAnsi="Times New Roman" w:cs="Times New Roman"/>
          <w:iCs/>
          <w:sz w:val="20"/>
          <w:szCs w:val="20"/>
        </w:rPr>
        <w:t>FSC ČR,</w:t>
      </w:r>
      <w:r w:rsidR="00CD0081">
        <w:rPr>
          <w:rFonts w:ascii="Times New Roman" w:hAnsi="Times New Roman" w:cs="Times New Roman"/>
          <w:iCs/>
          <w:sz w:val="20"/>
          <w:szCs w:val="20"/>
        </w:rPr>
        <w:t xml:space="preserve"> </w:t>
      </w:r>
      <w:r w:rsidRPr="00CD0081">
        <w:rPr>
          <w:rFonts w:ascii="Times New Roman" w:hAnsi="Times New Roman" w:cs="Times New Roman"/>
          <w:iCs/>
          <w:sz w:val="20"/>
          <w:szCs w:val="20"/>
        </w:rPr>
        <w:t>2009</w:t>
      </w:r>
      <w:r w:rsidR="003A1C5E">
        <w:rPr>
          <w:rFonts w:ascii="Times New Roman" w:hAnsi="Times New Roman" w:cs="Times New Roman"/>
          <w:iCs/>
          <w:sz w:val="20"/>
          <w:szCs w:val="20"/>
        </w:rPr>
        <w:t>.</w:t>
      </w:r>
      <w:r w:rsidRPr="00CD0081">
        <w:rPr>
          <w:rFonts w:ascii="Times New Roman" w:hAnsi="Times New Roman" w:cs="Times New Roman"/>
          <w:iCs/>
          <w:sz w:val="20"/>
          <w:szCs w:val="20"/>
        </w:rPr>
        <w:t xml:space="preserve"> </w:t>
      </w:r>
      <w:r w:rsidR="003A1C5E" w:rsidRPr="0012130E">
        <w:rPr>
          <w:rFonts w:ascii="Times New Roman" w:hAnsi="Times New Roman" w:cs="Times New Roman"/>
          <w:sz w:val="20"/>
          <w:szCs w:val="20"/>
        </w:rPr>
        <w:t xml:space="preserve">[cit. 20. července 2011]. Dostupný online </w:t>
      </w:r>
      <w:r w:rsidR="003A1C5E" w:rsidRPr="0012130E">
        <w:rPr>
          <w:rFonts w:ascii="Times New Roman" w:hAnsi="Times New Roman" w:cs="Times New Roman"/>
          <w:iCs/>
          <w:sz w:val="20"/>
          <w:szCs w:val="20"/>
        </w:rPr>
        <w:t>&lt;</w:t>
      </w:r>
      <w:r w:rsidRPr="00CD0081">
        <w:rPr>
          <w:rFonts w:ascii="Times New Roman" w:hAnsi="Times New Roman" w:cs="Times New Roman"/>
          <w:iCs/>
          <w:sz w:val="20"/>
          <w:szCs w:val="20"/>
        </w:rPr>
        <w:t>http://www.czechfsc.cz/faq/proc-se-certifikovat-.html&gt;.</w:t>
      </w:r>
    </w:p>
    <w:p w:rsidR="00DF128A" w:rsidRPr="00CD0081" w:rsidRDefault="00DF128A" w:rsidP="00CD0081">
      <w:pPr>
        <w:widowControl w:val="0"/>
        <w:spacing w:after="120" w:line="276" w:lineRule="auto"/>
        <w:jc w:val="both"/>
        <w:rPr>
          <w:rFonts w:ascii="Times New Roman" w:hAnsi="Times New Roman" w:cs="Times New Roman"/>
          <w:iCs/>
          <w:sz w:val="20"/>
          <w:szCs w:val="20"/>
        </w:rPr>
      </w:pPr>
      <w:r w:rsidRPr="003A1C5E">
        <w:rPr>
          <w:rFonts w:ascii="Times New Roman" w:hAnsi="Times New Roman" w:cs="Times New Roman"/>
          <w:i/>
          <w:iCs/>
          <w:sz w:val="20"/>
          <w:szCs w:val="20"/>
        </w:rPr>
        <w:t>Proč je certifikace FSC důležitá?</w:t>
      </w:r>
      <w:r w:rsidRPr="00CD0081">
        <w:rPr>
          <w:rFonts w:ascii="Times New Roman" w:hAnsi="Times New Roman" w:cs="Times New Roman"/>
          <w:iCs/>
          <w:sz w:val="20"/>
          <w:szCs w:val="20"/>
        </w:rPr>
        <w:t xml:space="preserve">. </w:t>
      </w:r>
      <w:r w:rsidR="00CD0081" w:rsidRPr="00CD0081">
        <w:rPr>
          <w:rFonts w:ascii="Times New Roman" w:hAnsi="Times New Roman" w:cs="Times New Roman"/>
          <w:iCs/>
          <w:sz w:val="20"/>
          <w:szCs w:val="20"/>
        </w:rPr>
        <w:t>FSC ČR,</w:t>
      </w:r>
      <w:r w:rsidR="00CD0081">
        <w:rPr>
          <w:rFonts w:ascii="Times New Roman" w:hAnsi="Times New Roman" w:cs="Times New Roman"/>
          <w:iCs/>
          <w:sz w:val="20"/>
          <w:szCs w:val="20"/>
        </w:rPr>
        <w:t xml:space="preserve"> </w:t>
      </w:r>
      <w:r w:rsidRPr="00CD0081">
        <w:rPr>
          <w:rFonts w:ascii="Times New Roman" w:hAnsi="Times New Roman" w:cs="Times New Roman"/>
          <w:iCs/>
          <w:sz w:val="20"/>
          <w:szCs w:val="20"/>
        </w:rPr>
        <w:t>2009</w:t>
      </w:r>
      <w:r w:rsidR="003A1C5E">
        <w:rPr>
          <w:rFonts w:ascii="Times New Roman" w:hAnsi="Times New Roman" w:cs="Times New Roman"/>
          <w:iCs/>
          <w:sz w:val="20"/>
          <w:szCs w:val="20"/>
        </w:rPr>
        <w:t>.</w:t>
      </w:r>
      <w:r w:rsidRPr="00CD0081">
        <w:rPr>
          <w:rFonts w:ascii="Times New Roman" w:hAnsi="Times New Roman" w:cs="Times New Roman"/>
          <w:iCs/>
          <w:sz w:val="20"/>
          <w:szCs w:val="20"/>
        </w:rPr>
        <w:t xml:space="preserve"> </w:t>
      </w:r>
      <w:r w:rsidR="003A1C5E" w:rsidRPr="0012130E">
        <w:rPr>
          <w:rFonts w:ascii="Times New Roman" w:hAnsi="Times New Roman" w:cs="Times New Roman"/>
          <w:sz w:val="20"/>
          <w:szCs w:val="20"/>
        </w:rPr>
        <w:t xml:space="preserve">[cit. 20. července 2011]. Dostupný online </w:t>
      </w:r>
      <w:r w:rsidR="003A1C5E" w:rsidRPr="0012130E">
        <w:rPr>
          <w:rFonts w:ascii="Times New Roman" w:hAnsi="Times New Roman" w:cs="Times New Roman"/>
          <w:iCs/>
          <w:sz w:val="20"/>
          <w:szCs w:val="20"/>
        </w:rPr>
        <w:t>&lt;</w:t>
      </w:r>
      <w:r w:rsidRPr="00CD0081">
        <w:rPr>
          <w:rFonts w:ascii="Times New Roman" w:hAnsi="Times New Roman" w:cs="Times New Roman"/>
          <w:iCs/>
          <w:sz w:val="20"/>
          <w:szCs w:val="20"/>
        </w:rPr>
        <w:t>http://www.czechfsc.cz/poradensky-servis-fsc-cr/informace-pro-verejnost/proc-je-certifikace-fsc-dulezita--1.html&gt;.</w:t>
      </w:r>
    </w:p>
    <w:p w:rsidR="00DF128A" w:rsidRDefault="00DF128A" w:rsidP="003A1C5E">
      <w:pPr>
        <w:widowControl w:val="0"/>
        <w:spacing w:after="120" w:line="276" w:lineRule="auto"/>
        <w:jc w:val="both"/>
        <w:rPr>
          <w:rFonts w:ascii="Times New Roman" w:hAnsi="Times New Roman" w:cs="Times New Roman"/>
          <w:iCs/>
          <w:sz w:val="20"/>
          <w:szCs w:val="20"/>
        </w:rPr>
      </w:pPr>
      <w:r w:rsidRPr="003A1C5E">
        <w:rPr>
          <w:rFonts w:ascii="Times New Roman" w:hAnsi="Times New Roman" w:cs="Times New Roman"/>
          <w:i/>
          <w:iCs/>
          <w:sz w:val="20"/>
          <w:szCs w:val="20"/>
        </w:rPr>
        <w:t>FSC Garden Sheds</w:t>
      </w:r>
      <w:r w:rsidRPr="00CD0081">
        <w:rPr>
          <w:rFonts w:ascii="Times New Roman" w:hAnsi="Times New Roman" w:cs="Times New Roman"/>
          <w:iCs/>
          <w:sz w:val="20"/>
          <w:szCs w:val="20"/>
        </w:rPr>
        <w:t xml:space="preserve">. </w:t>
      </w:r>
      <w:r w:rsidR="003A1C5E" w:rsidRPr="00CD0081">
        <w:rPr>
          <w:rFonts w:ascii="Times New Roman" w:hAnsi="Times New Roman" w:cs="Times New Roman"/>
          <w:iCs/>
          <w:sz w:val="20"/>
          <w:szCs w:val="20"/>
        </w:rPr>
        <w:t>FSC Shed shop</w:t>
      </w:r>
      <w:r w:rsidR="003A1C5E">
        <w:rPr>
          <w:rFonts w:ascii="Times New Roman" w:hAnsi="Times New Roman" w:cs="Times New Roman"/>
          <w:iCs/>
          <w:sz w:val="20"/>
          <w:szCs w:val="20"/>
        </w:rPr>
        <w:t>,</w:t>
      </w:r>
      <w:r w:rsidR="003A1C5E" w:rsidRPr="00CD0081">
        <w:rPr>
          <w:rFonts w:ascii="Times New Roman" w:hAnsi="Times New Roman" w:cs="Times New Roman"/>
          <w:iCs/>
          <w:sz w:val="20"/>
          <w:szCs w:val="20"/>
        </w:rPr>
        <w:t xml:space="preserve"> </w:t>
      </w:r>
      <w:r w:rsidRPr="00CD0081">
        <w:rPr>
          <w:rFonts w:ascii="Times New Roman" w:hAnsi="Times New Roman" w:cs="Times New Roman"/>
          <w:iCs/>
          <w:sz w:val="20"/>
          <w:szCs w:val="20"/>
        </w:rPr>
        <w:t>2009</w:t>
      </w:r>
      <w:r w:rsidR="003A1C5E">
        <w:rPr>
          <w:rFonts w:ascii="Times New Roman" w:hAnsi="Times New Roman" w:cs="Times New Roman"/>
          <w:iCs/>
          <w:sz w:val="20"/>
          <w:szCs w:val="20"/>
        </w:rPr>
        <w:t>.</w:t>
      </w:r>
      <w:r w:rsidRPr="00CD0081">
        <w:rPr>
          <w:rFonts w:ascii="Times New Roman" w:hAnsi="Times New Roman" w:cs="Times New Roman"/>
          <w:iCs/>
          <w:sz w:val="20"/>
          <w:szCs w:val="20"/>
        </w:rPr>
        <w:t xml:space="preserve"> </w:t>
      </w:r>
      <w:r w:rsidR="003A1C5E" w:rsidRPr="0012130E">
        <w:rPr>
          <w:rFonts w:ascii="Times New Roman" w:hAnsi="Times New Roman" w:cs="Times New Roman"/>
          <w:sz w:val="20"/>
          <w:szCs w:val="20"/>
        </w:rPr>
        <w:t xml:space="preserve">[cit. 20. července 2011]. Dostupný online </w:t>
      </w:r>
      <w:r w:rsidR="003A1C5E" w:rsidRPr="0012130E">
        <w:rPr>
          <w:rFonts w:ascii="Times New Roman" w:hAnsi="Times New Roman" w:cs="Times New Roman"/>
          <w:iCs/>
          <w:sz w:val="20"/>
          <w:szCs w:val="20"/>
        </w:rPr>
        <w:t>&lt;</w:t>
      </w:r>
      <w:r w:rsidRPr="00CD0081">
        <w:rPr>
          <w:rFonts w:ascii="Times New Roman" w:hAnsi="Times New Roman" w:cs="Times New Roman"/>
          <w:iCs/>
          <w:sz w:val="20"/>
          <w:szCs w:val="20"/>
        </w:rPr>
        <w:t>http://fscgardensheds.co.uk/index.html&gt;.</w:t>
      </w:r>
    </w:p>
    <w:p w:rsidR="00E73619" w:rsidRDefault="00E73619" w:rsidP="003A1C5E">
      <w:pPr>
        <w:widowControl w:val="0"/>
        <w:spacing w:after="120" w:line="276" w:lineRule="auto"/>
        <w:jc w:val="both"/>
        <w:rPr>
          <w:rFonts w:ascii="Times New Roman" w:hAnsi="Times New Roman" w:cs="Times New Roman"/>
          <w:iCs/>
          <w:sz w:val="20"/>
          <w:szCs w:val="20"/>
        </w:rPr>
      </w:pPr>
    </w:p>
    <w:p w:rsidR="0016254A" w:rsidRPr="0016254A" w:rsidRDefault="0016254A" w:rsidP="0016254A">
      <w:pPr>
        <w:pStyle w:val="Nadpis1"/>
        <w:ind w:firstLine="0"/>
      </w:pPr>
      <w:bookmarkStart w:id="78" w:name="_Toc331023980"/>
      <w:r w:rsidRPr="0016254A">
        <w:t>A</w:t>
      </w:r>
      <w:r>
        <w:t xml:space="preserve">NTIGLOBALIZAČNÍ PROTESTY V ROCE </w:t>
      </w:r>
      <w:r w:rsidRPr="0016254A">
        <w:t>1999</w:t>
      </w:r>
      <w:bookmarkEnd w:id="78"/>
    </w:p>
    <w:p w:rsidR="0016254A" w:rsidRDefault="0016254A" w:rsidP="0016254A">
      <w:pPr>
        <w:spacing w:line="360" w:lineRule="auto"/>
        <w:rPr>
          <w:rFonts w:ascii="Times New Roman" w:hAnsi="Times New Roman"/>
          <w:sz w:val="24"/>
          <w:szCs w:val="24"/>
        </w:rPr>
      </w:pPr>
    </w:p>
    <w:p w:rsidR="0016254A" w:rsidRPr="003118B3" w:rsidRDefault="0016254A" w:rsidP="003118B3">
      <w:pPr>
        <w:pStyle w:val="Nadpis1"/>
        <w:rPr>
          <w:b w:val="0"/>
          <w:i/>
        </w:rPr>
      </w:pPr>
      <w:bookmarkStart w:id="79" w:name="_Toc331023981"/>
      <w:r w:rsidRPr="003118B3">
        <w:rPr>
          <w:b w:val="0"/>
          <w:i/>
        </w:rPr>
        <w:t>Klára Javorčeková, Martina Kvítková</w:t>
      </w:r>
      <w:bookmarkEnd w:id="79"/>
    </w:p>
    <w:p w:rsidR="0016254A" w:rsidRDefault="0016254A" w:rsidP="0016254A">
      <w:pPr>
        <w:jc w:val="right"/>
        <w:rPr>
          <w:rFonts w:ascii="Times New Roman" w:hAnsi="Times New Roman"/>
          <w:sz w:val="24"/>
        </w:rPr>
      </w:pPr>
    </w:p>
    <w:p w:rsidR="0016254A" w:rsidRDefault="0016254A" w:rsidP="0016254A">
      <w:pPr>
        <w:jc w:val="both"/>
        <w:rPr>
          <w:rFonts w:ascii="Times New Roman" w:hAnsi="Times New Roman"/>
          <w:sz w:val="24"/>
        </w:rPr>
      </w:pPr>
    </w:p>
    <w:p w:rsidR="0016254A" w:rsidRDefault="0016254A" w:rsidP="00F1337F">
      <w:pPr>
        <w:pStyle w:val="Normlnweb"/>
        <w:widowControl w:val="0"/>
        <w:spacing w:before="0" w:beforeAutospacing="0" w:after="0" w:afterAutospacing="0" w:line="276" w:lineRule="auto"/>
        <w:ind w:firstLine="709"/>
        <w:jc w:val="both"/>
      </w:pPr>
      <w:r>
        <w:t>Cílem naší seminární práce je přiblížit hlavní události spojené s antiglobalizačními protesty v roce 1999. Pozornost bude zaměřena zejména na největší protestní akce v daném roce – Karneval proti kapitalismu a protesty proti zasedání WTO</w:t>
      </w:r>
      <w:r w:rsidRPr="00F1337F">
        <w:footnoteReference w:id="36"/>
      </w:r>
      <w:r>
        <w:t xml:space="preserve"> v Seattlu. V práci budou nastíněny hlavní důvody a motivace, které vedly k uskutečnění těchto protestních akcí. Část textu bude věnována analýze průběhu protestů a v závěru textu budou shrnuty dopady těchto protestních akcí na další vývoj boje proti negativním dopadům globalizace a jejich reflexe v politikách mezinárodních organizací.   </w:t>
      </w:r>
    </w:p>
    <w:p w:rsidR="003264DF" w:rsidRDefault="003264DF" w:rsidP="00F1337F">
      <w:pPr>
        <w:pStyle w:val="Normlnweb"/>
        <w:widowControl w:val="0"/>
        <w:spacing w:before="0" w:beforeAutospacing="0" w:after="0" w:afterAutospacing="0" w:line="276" w:lineRule="auto"/>
        <w:ind w:firstLine="709"/>
        <w:jc w:val="both"/>
      </w:pPr>
    </w:p>
    <w:p w:rsidR="0016254A" w:rsidRPr="003264DF" w:rsidRDefault="003264DF" w:rsidP="003264DF">
      <w:pPr>
        <w:rPr>
          <w:rFonts w:ascii="Times New Roman" w:hAnsi="Times New Roman" w:cs="Times New Roman"/>
          <w:b/>
          <w:sz w:val="24"/>
          <w:szCs w:val="24"/>
        </w:rPr>
      </w:pPr>
      <w:r>
        <w:rPr>
          <w:rFonts w:ascii="Times New Roman" w:hAnsi="Times New Roman" w:cs="Times New Roman"/>
          <w:b/>
          <w:sz w:val="24"/>
          <w:szCs w:val="24"/>
        </w:rPr>
        <w:t>A</w:t>
      </w:r>
      <w:r w:rsidR="0016254A" w:rsidRPr="003264DF">
        <w:rPr>
          <w:rFonts w:ascii="Times New Roman" w:hAnsi="Times New Roman" w:cs="Times New Roman"/>
          <w:b/>
          <w:sz w:val="24"/>
          <w:szCs w:val="24"/>
        </w:rPr>
        <w:t>ntiglobalizační protesty v roce 1999</w:t>
      </w:r>
    </w:p>
    <w:p w:rsidR="0016254A" w:rsidRDefault="0016254A" w:rsidP="00F1337F">
      <w:pPr>
        <w:pStyle w:val="Normlnweb"/>
        <w:widowControl w:val="0"/>
        <w:spacing w:before="0" w:beforeAutospacing="0" w:after="0" w:afterAutospacing="0" w:line="276" w:lineRule="auto"/>
        <w:ind w:firstLine="709"/>
        <w:jc w:val="both"/>
      </w:pPr>
      <w:r>
        <w:t>Násilné nepokoje a protesty se v poslední době stávají moderním fenoménem, který zaměstnává nejenom politologické a bezpečností experty, ale také politické reprezentace, jenž jim musí čelit. Přestože se tento fenomén dostal širokého povědomí v nedávné době, jde o tradiční metodu prosazování zájmů.</w:t>
      </w:r>
      <w:r w:rsidRPr="00007422">
        <w:t xml:space="preserve"> </w:t>
      </w:r>
      <w:r>
        <w:t>Násilné demonstrace a protestní akce představují hrozbu vnitřní bezpečnosti, ovšem jedná se o jednu z forem politické participace, tedy druh komunikace, snažící se o ustanovení určitého veřejného diskurzu a představující formu odpovědi na činnost světových organizací, politických institucí a jednotlivých politiků.  (PRUDÍKOVÁ, 2010, s. 227 - 228)</w:t>
      </w:r>
    </w:p>
    <w:p w:rsidR="0016254A" w:rsidRDefault="0016254A" w:rsidP="00F1337F">
      <w:pPr>
        <w:pStyle w:val="Normlnweb"/>
        <w:widowControl w:val="0"/>
        <w:spacing w:before="0" w:beforeAutospacing="0" w:after="0" w:afterAutospacing="0" w:line="276" w:lineRule="auto"/>
        <w:ind w:firstLine="709"/>
        <w:jc w:val="both"/>
      </w:pPr>
      <w:r>
        <w:t>Násilnosti v rámci protestů se zpravidla neuplatňují při interakci demonstrantů s těmi, proti kterým demonstrují, ale masové násilí má tendenci eskalovat až ve vzájemných interakcích mezi demonstranty a policí, zejména poté co represivní státní aparát začne nenásilné protestní aktivity usměrňovat. (PRUDÍKOVÁ, 2010, s. 251 - 252)</w:t>
      </w:r>
      <w:r w:rsidRPr="003E1962">
        <w:t xml:space="preserve"> </w:t>
      </w:r>
    </w:p>
    <w:p w:rsidR="0016254A" w:rsidRDefault="0016254A" w:rsidP="00F1337F">
      <w:pPr>
        <w:pStyle w:val="Normlnweb"/>
        <w:widowControl w:val="0"/>
        <w:spacing w:before="0" w:beforeAutospacing="0" w:after="0" w:afterAutospacing="0" w:line="276" w:lineRule="auto"/>
        <w:ind w:firstLine="709"/>
        <w:jc w:val="both"/>
      </w:pPr>
      <w:r>
        <w:t>Antiglobalizační protesty jsou v současnosti jedním z nejvíce medializovaným typem násilných protestů, jejichž cílem je boj proti celosvětové globalizaci</w:t>
      </w:r>
      <w:r w:rsidRPr="00F1337F">
        <w:footnoteReference w:id="37"/>
      </w:r>
      <w:r>
        <w:t xml:space="preserve">. Jejich kritika se zaměřuje </w:t>
      </w:r>
      <w:r w:rsidRPr="00336929">
        <w:t xml:space="preserve">především na negativní důsledky globalizace, jakými jsou růst globálních </w:t>
      </w:r>
      <w:bookmarkStart w:id="80" w:name="_GoBack"/>
      <w:bookmarkEnd w:id="80"/>
      <w:r w:rsidRPr="00336929">
        <w:t>nerovností, chudoba</w:t>
      </w:r>
      <w:r>
        <w:t>, nedostatek demokracie</w:t>
      </w:r>
      <w:r w:rsidRPr="00336929">
        <w:t xml:space="preserve"> nebo ničení životního prostředí a které jsou ovlivněny rozhodováním </w:t>
      </w:r>
      <w:r>
        <w:t xml:space="preserve">mezinárodních finančních a politických institucí. Jako hlavní nepřítel antiglobalizačních protestů je chápána neoliberalistická verze globalizace a aktéři s ní spojení: </w:t>
      </w:r>
      <w:r w:rsidRPr="00336929">
        <w:t>Světová obchodní organizace, Mezinárodní měnový fond, Světová banka</w:t>
      </w:r>
      <w:r>
        <w:t>, nadnárodní korporace</w:t>
      </w:r>
      <w:r w:rsidRPr="00336929">
        <w:t xml:space="preserve"> nebo </w:t>
      </w:r>
      <w:r>
        <w:t xml:space="preserve">nejvlivnější země světa </w:t>
      </w:r>
      <w:r w:rsidRPr="00B35F23">
        <w:t>G8</w:t>
      </w:r>
      <w:r w:rsidRPr="00F1337F">
        <w:footnoteReference w:id="38"/>
      </w:r>
      <w:r w:rsidRPr="00B35F23">
        <w:t>.</w:t>
      </w:r>
      <w:r w:rsidRPr="00336929">
        <w:t xml:space="preserve"> (KOLÁŘOVÁ, 2009, s. 12)</w:t>
      </w:r>
    </w:p>
    <w:p w:rsidR="0016254A" w:rsidRDefault="0016254A" w:rsidP="00F1337F">
      <w:pPr>
        <w:pStyle w:val="Normlnweb"/>
        <w:widowControl w:val="0"/>
        <w:spacing w:before="0" w:beforeAutospacing="0" w:after="0" w:afterAutospacing="0" w:line="276" w:lineRule="auto"/>
        <w:ind w:firstLine="709"/>
        <w:jc w:val="both"/>
      </w:pPr>
    </w:p>
    <w:p w:rsidR="0016254A" w:rsidRPr="003264DF" w:rsidRDefault="0016254A" w:rsidP="003264DF">
      <w:pPr>
        <w:pStyle w:val="Nadpis2"/>
        <w:numPr>
          <w:ilvl w:val="0"/>
          <w:numId w:val="0"/>
        </w:numPr>
        <w:ind w:left="576" w:hanging="576"/>
        <w:rPr>
          <w:rFonts w:ascii="Times New Roman" w:eastAsiaTheme="minorHAnsi" w:hAnsi="Times New Roman" w:cs="Times New Roman"/>
          <w:bCs w:val="0"/>
          <w:i w:val="0"/>
          <w:iCs w:val="0"/>
          <w:sz w:val="24"/>
          <w:szCs w:val="24"/>
          <w:lang w:eastAsia="en-US"/>
        </w:rPr>
      </w:pPr>
      <w:bookmarkStart w:id="81" w:name="_Toc331023982"/>
      <w:r w:rsidRPr="003264DF">
        <w:rPr>
          <w:rFonts w:ascii="Times New Roman" w:eastAsiaTheme="minorHAnsi" w:hAnsi="Times New Roman" w:cs="Times New Roman"/>
          <w:bCs w:val="0"/>
          <w:i w:val="0"/>
          <w:iCs w:val="0"/>
          <w:sz w:val="24"/>
          <w:szCs w:val="24"/>
          <w:lang w:eastAsia="en-US"/>
        </w:rPr>
        <w:t>Karneval proti Kapitalismu</w:t>
      </w:r>
      <w:bookmarkEnd w:id="81"/>
    </w:p>
    <w:p w:rsidR="0016254A" w:rsidRDefault="0016254A" w:rsidP="00F1337F">
      <w:pPr>
        <w:pStyle w:val="Normlnweb"/>
        <w:widowControl w:val="0"/>
        <w:spacing w:before="0" w:beforeAutospacing="0" w:after="0" w:afterAutospacing="0" w:line="276" w:lineRule="auto"/>
        <w:ind w:firstLine="709"/>
        <w:jc w:val="both"/>
      </w:pPr>
      <w:r>
        <w:t xml:space="preserve">Mezinárodní protestní akce nazývaná Karneval proti Kapitalismu, je příkladem </w:t>
      </w:r>
      <w:r>
        <w:lastRenderedPageBreak/>
        <w:t>prvního plánovaného celosvětového protestu proti nespravedlnosti globálního systému. V pátek 18. června 1999 byly ve více než 70 finančních centrech a čtvrtích ve více než 40 zemích světa zorganizovány souběžně probíhající protestní stávky, blokády a pouliční slavnosti (</w:t>
      </w:r>
      <w:r w:rsidRPr="00F1337F">
        <w:t>street parties</w:t>
      </w:r>
      <w:r>
        <w:t>) proti ekonomickému imperialismu, mezinárodnímu finančnímu systému, politikám Světové obchodní organizace, liberalizaci obchodu, růstu moci nadnárodních korporací, nedemokratickým režimům, atomovým zbraním, konzumerismu nebo za odpuštění dluhů zemí třetího světa pod jednotícím heslem: „</w:t>
      </w:r>
      <w:r w:rsidRPr="00F1337F">
        <w:t>Náš vzdor je stejně nadnárodní jako kapitál</w:t>
      </w:r>
      <w:r>
        <w:t xml:space="preserve">“. Toto datum bylo vybráno záměrně, aby kolidovalo s konáním 25. summitu G8 v německém Kolínu nad Rýnem. Jednalo se o masové demonstrace různorodých protestních skupin a aktérů </w:t>
      </w:r>
      <w:r w:rsidRPr="00375B40">
        <w:t>v ulicích měst využívající kreativní taktiky</w:t>
      </w:r>
      <w:r>
        <w:t xml:space="preserve"> protestu</w:t>
      </w:r>
      <w:r w:rsidRPr="00375B40">
        <w:t xml:space="preserve"> jako jsou </w:t>
      </w:r>
      <w:r>
        <w:t xml:space="preserve">masky, kostýmy, </w:t>
      </w:r>
      <w:r w:rsidRPr="00375B40">
        <w:t>loutky,</w:t>
      </w:r>
      <w:r>
        <w:t xml:space="preserve"> transparenty,</w:t>
      </w:r>
      <w:r w:rsidRPr="00375B40">
        <w:t xml:space="preserve"> hudba a </w:t>
      </w:r>
      <w:r>
        <w:t>tanec. Protesty a demonstrace byly inspirované</w:t>
      </w:r>
      <w:r w:rsidRPr="00375B40">
        <w:t xml:space="preserve"> Karnevalem proti válce, útlaku a ničení</w:t>
      </w:r>
      <w:r w:rsidRPr="00F1337F">
        <w:footnoteReference w:id="39"/>
      </w:r>
      <w:r w:rsidRPr="00375B40">
        <w:t>, což byly celosvětové demonstrace v</w:t>
      </w:r>
      <w:r>
        <w:t xml:space="preserve"> letech </w:t>
      </w:r>
      <w:r w:rsidRPr="00375B40">
        <w:t>1983-</w:t>
      </w:r>
      <w:r>
        <w:t>198</w:t>
      </w:r>
      <w:r w:rsidRPr="00375B40">
        <w:t>4 proti vojensko-průmyslovým komplexům,</w:t>
      </w:r>
      <w:r>
        <w:t xml:space="preserve"> </w:t>
      </w:r>
      <w:r w:rsidRPr="00375B40">
        <w:t xml:space="preserve">a </w:t>
      </w:r>
      <w:r w:rsidRPr="00F1337F">
        <w:t> Global Street Party, která se odehrála během 24. summitu  G8 v roce 1988 v anglickém Birminghamu</w:t>
      </w:r>
      <w:r w:rsidRPr="00375B40">
        <w:t>.</w:t>
      </w:r>
      <w:r>
        <w:t xml:space="preserve"> (AINGER, 1999; DO OR DIE, 1999)</w:t>
      </w:r>
    </w:p>
    <w:p w:rsidR="0016254A" w:rsidRDefault="0016254A" w:rsidP="00F1337F">
      <w:pPr>
        <w:pStyle w:val="Normlnweb"/>
        <w:widowControl w:val="0"/>
        <w:spacing w:before="0" w:beforeAutospacing="0" w:after="0" w:afterAutospacing="0" w:line="276" w:lineRule="auto"/>
        <w:ind w:firstLine="709"/>
        <w:jc w:val="both"/>
      </w:pPr>
      <w:r>
        <w:rPr>
          <w:noProof/>
        </w:rPr>
        <mc:AlternateContent>
          <mc:Choice Requires="wps">
            <w:drawing>
              <wp:anchor distT="0" distB="0" distL="114300" distR="114300" simplePos="0" relativeHeight="251659264" behindDoc="0" locked="0" layoutInCell="1" allowOverlap="1" wp14:anchorId="62D8D993" wp14:editId="341FB93E">
                <wp:simplePos x="0" y="0"/>
                <wp:positionH relativeFrom="column">
                  <wp:posOffset>2774315</wp:posOffset>
                </wp:positionH>
                <wp:positionV relativeFrom="paragraph">
                  <wp:posOffset>1111250</wp:posOffset>
                </wp:positionV>
                <wp:extent cx="2917190" cy="2208530"/>
                <wp:effectExtent l="9525" t="6350" r="6985" b="13970"/>
                <wp:wrapSquare wrapText="bothSides"/>
                <wp:docPr id="36" name="Textové pole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7190" cy="2208530"/>
                        </a:xfrm>
                        <a:prstGeom prst="rect">
                          <a:avLst/>
                        </a:prstGeom>
                        <a:solidFill>
                          <a:srgbClr val="FFFFFF"/>
                        </a:solidFill>
                        <a:ln w="9525">
                          <a:solidFill>
                            <a:srgbClr val="000000"/>
                          </a:solidFill>
                          <a:miter lim="800000"/>
                          <a:headEnd/>
                          <a:tailEnd/>
                        </a:ln>
                      </wps:spPr>
                      <wps:txbx>
                        <w:txbxContent>
                          <w:p w:rsidR="001F4DC5" w:rsidRPr="00386576" w:rsidRDefault="001F4DC5" w:rsidP="0016254A">
                            <w:pPr>
                              <w:rPr>
                                <w:rFonts w:ascii="Times New Roman" w:hAnsi="Times New Roman"/>
                              </w:rPr>
                            </w:pPr>
                            <w:r>
                              <w:rPr>
                                <w:rFonts w:ascii="Times New Roman" w:hAnsi="Times New Roman"/>
                                <w:noProof/>
                                <w:lang w:eastAsia="cs-CZ"/>
                              </w:rPr>
                              <w:drawing>
                                <wp:inline distT="0" distB="0" distL="0" distR="0" wp14:anchorId="08E16A0F" wp14:editId="4AAE6E08">
                                  <wp:extent cx="2711450" cy="1797050"/>
                                  <wp:effectExtent l="0" t="0" r="0" b="0"/>
                                  <wp:docPr id="57" name="Obrázek 57" descr="Corbis-AAKA00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bis-AAKA00136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0" cy="1797050"/>
                                          </a:xfrm>
                                          <a:prstGeom prst="rect">
                                            <a:avLst/>
                                          </a:prstGeom>
                                          <a:noFill/>
                                          <a:ln>
                                            <a:noFill/>
                                          </a:ln>
                                        </pic:spPr>
                                      </pic:pic>
                                    </a:graphicData>
                                  </a:graphic>
                                </wp:inline>
                              </w:drawing>
                            </w:r>
                          </w:p>
                          <w:p w:rsidR="001F4DC5" w:rsidRPr="00386576" w:rsidRDefault="001F4DC5" w:rsidP="0016254A">
                            <w:pPr>
                              <w:rPr>
                                <w:rFonts w:ascii="Times New Roman" w:hAnsi="Times New Roman"/>
                                <w:b/>
                              </w:rPr>
                            </w:pPr>
                            <w:r w:rsidRPr="00386576">
                              <w:rPr>
                                <w:rFonts w:ascii="Times New Roman" w:hAnsi="Times New Roman"/>
                              </w:rPr>
                              <w:t xml:space="preserve">Obr. 1. </w:t>
                            </w:r>
                            <w:r w:rsidRPr="00386576">
                              <w:rPr>
                                <w:rFonts w:ascii="Times New Roman" w:hAnsi="Times New Roman"/>
                                <w:b/>
                              </w:rPr>
                              <w:t xml:space="preserve">Karneval proti kapitalismu v Londýně </w:t>
                            </w:r>
                          </w:p>
                          <w:p w:rsidR="001F4DC5" w:rsidRPr="00386576" w:rsidRDefault="001F4DC5" w:rsidP="0016254A">
                            <w:pPr>
                              <w:rPr>
                                <w:rFonts w:ascii="Times New Roman" w:hAnsi="Times New Roman"/>
                                <w:sz w:val="20"/>
                                <w:szCs w:val="20"/>
                              </w:rPr>
                            </w:pPr>
                            <w:r w:rsidRPr="00386576">
                              <w:rPr>
                                <w:rFonts w:ascii="Times New Roman" w:hAnsi="Times New Roman"/>
                                <w:sz w:val="20"/>
                                <w:szCs w:val="20"/>
                              </w:rPr>
                              <w:t>(převzato: Corbis Images, 2002-2012)</w:t>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ové pole 36" o:spid="_x0000_s1026" type="#_x0000_t202" style="position:absolute;left:0;text-align:left;margin-left:218.45pt;margin-top:87.5pt;width:229.7pt;height:173.9pt;z-index:251659264;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">
                <v:textbox style="mso-fit-shape-to-text:t">
                  <w:txbxContent>
                    <w:p w:rsidR="001F4DC5" w:rsidRPr="00386576" w:rsidRDefault="001F4DC5" w:rsidP="0016254A">
                      <w:pPr>
                        <w:rPr>
                          <w:rFonts w:ascii="Times New Roman" w:hAnsi="Times New Roman"/>
                        </w:rPr>
                      </w:pPr>
                      <w:r>
                        <w:rPr>
                          <w:rFonts w:ascii="Times New Roman" w:hAnsi="Times New Roman"/>
                          <w:noProof/>
                          <w:lang w:eastAsia="cs-CZ"/>
                        </w:rPr>
                        <w:drawing>
                          <wp:inline distT="0" distB="0" distL="0" distR="0" wp14:anchorId="429A87F1" wp14:editId="3D5DFBF2">
                            <wp:extent cx="2711450" cy="1797050"/>
                            <wp:effectExtent l="0" t="0" r="0" b="0"/>
                            <wp:docPr id="57" name="Obrázek 57" descr="Corbis-AAKA00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bis-AAKA00136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11450" cy="1797050"/>
                                    </a:xfrm>
                                    <a:prstGeom prst="rect">
                                      <a:avLst/>
                                    </a:prstGeom>
                                    <a:noFill/>
                                    <a:ln>
                                      <a:noFill/>
                                    </a:ln>
                                  </pic:spPr>
                                </pic:pic>
                              </a:graphicData>
                            </a:graphic>
                          </wp:inline>
                        </w:drawing>
                      </w:r>
                    </w:p>
                    <w:p w:rsidR="001F4DC5" w:rsidRPr="00386576" w:rsidRDefault="001F4DC5" w:rsidP="0016254A">
                      <w:pPr>
                        <w:rPr>
                          <w:rFonts w:ascii="Times New Roman" w:hAnsi="Times New Roman"/>
                          <w:b/>
                        </w:rPr>
                      </w:pPr>
                      <w:r w:rsidRPr="00386576">
                        <w:rPr>
                          <w:rFonts w:ascii="Times New Roman" w:hAnsi="Times New Roman"/>
                        </w:rPr>
                        <w:t xml:space="preserve">Obr. 1. </w:t>
                      </w:r>
                      <w:r w:rsidRPr="00386576">
                        <w:rPr>
                          <w:rFonts w:ascii="Times New Roman" w:hAnsi="Times New Roman"/>
                          <w:b/>
                        </w:rPr>
                        <w:t xml:space="preserve">Karneval proti kapitalismu v Londýně </w:t>
                      </w:r>
                    </w:p>
                    <w:p w:rsidR="001F4DC5" w:rsidRPr="00386576" w:rsidRDefault="001F4DC5" w:rsidP="0016254A">
                      <w:pPr>
                        <w:rPr>
                          <w:rFonts w:ascii="Times New Roman" w:hAnsi="Times New Roman"/>
                          <w:sz w:val="20"/>
                          <w:szCs w:val="20"/>
                        </w:rPr>
                      </w:pPr>
                      <w:r w:rsidRPr="00386576">
                        <w:rPr>
                          <w:rFonts w:ascii="Times New Roman" w:hAnsi="Times New Roman"/>
                          <w:sz w:val="20"/>
                          <w:szCs w:val="20"/>
                        </w:rPr>
                        <w:t>(převzato: Corbis Images, 2002-2012)</w:t>
                      </w:r>
                    </w:p>
                  </w:txbxContent>
                </v:textbox>
                <w10:wrap type="square"/>
              </v:shape>
            </w:pict>
          </mc:Fallback>
        </mc:AlternateContent>
      </w:r>
      <w:r>
        <w:t xml:space="preserve">Největší rozsah akcí a protestů byl v tento den naplánován v Londýně, jelikož městský obvod City je jedno z nejvýznamnějších světových finančních center a sídlem londýnské burzy. Při této protestní akci, zkráceně označovanou jako J18, přibližně 4 000 demonstrantů oblečených v kostýmech a maskách, protestujících za velmi různorodé zájmy, pochodovalo přes londýnské finanční centrum. Pomocí tance a hlasité hudby přerušily obchodování na londýnské burze způsobujíce tak ztráty v hodnotě přes milión liber (viz obr. 1). Kromě karnevalového protestního průvodu byly na tento den v Londýně naplánované další veřejné akce, jako </w:t>
      </w:r>
      <w:r w:rsidRPr="00A6527C">
        <w:t>například demonstrace proti obchodu se zbraněmi, týrání zvířat, militarizaci vesmíru, stávka proti řetězci rychlého občerstvení McDonald´s nebo cyklistický průjezd městem jako protest proti osobní automobilové dopravě.</w:t>
      </w:r>
      <w:r>
        <w:t xml:space="preserve"> Jako jeden z hlavních organizátorů Karnevalu v Londýně vystupovalo hnutí Reclaim the Streets</w:t>
      </w:r>
      <w:r w:rsidRPr="00F1337F">
        <w:footnoteReference w:id="40"/>
      </w:r>
      <w:r>
        <w:t>, které v rámci propagace těchto protestů nově využívala komunikačních technologií jako internet a email.</w:t>
      </w:r>
      <w:r w:rsidRPr="00A6527C">
        <w:t xml:space="preserve"> </w:t>
      </w:r>
      <w:r>
        <w:t>Průběh protestů byl relativně nenásilný</w:t>
      </w:r>
      <w:r w:rsidRPr="00A6527C">
        <w:t xml:space="preserve">, </w:t>
      </w:r>
      <w:r>
        <w:t>ačkoliv</w:t>
      </w:r>
      <w:r w:rsidRPr="00A6527C">
        <w:t xml:space="preserve"> během dne skupina radikálních demonstrantů zdemolovala přízemí budovy </w:t>
      </w:r>
      <w:r w:rsidRPr="00F1337F">
        <w:t>londýnské burzy pro mezinárodní finanční termínové obchody (LIFFE)</w:t>
      </w:r>
      <w:r w:rsidRPr="00A6527C">
        <w:t xml:space="preserve"> a rozbila tři výlohy největšího světového fast-foodového řetězce McDonald´s</w:t>
      </w:r>
      <w:r>
        <w:t>. V důsledku následného zásahu policie bylo přibližně 50 demonstrantů</w:t>
      </w:r>
      <w:r w:rsidRPr="008C02E6">
        <w:t xml:space="preserve"> </w:t>
      </w:r>
      <w:r>
        <w:t xml:space="preserve">hospitalizováno a dvě desítky nejradikálnějších protestujících zadrženy. </w:t>
      </w:r>
      <w:r w:rsidRPr="00A6527C">
        <w:t>Karneval proti kapitalismu</w:t>
      </w:r>
      <w:r>
        <w:t xml:space="preserve"> v Londýně se stal inspirací pro řadu obdobných protestních akcí po celém světě. (BBC NEWS, 1999; </w:t>
      </w:r>
      <w:r w:rsidRPr="00F1337F">
        <w:t>THE GUARDIAN, 1999</w:t>
      </w:r>
      <w:r>
        <w:t>)</w:t>
      </w:r>
    </w:p>
    <w:p w:rsidR="0016254A" w:rsidRPr="003264DF" w:rsidRDefault="0016254A" w:rsidP="003264DF">
      <w:pPr>
        <w:pStyle w:val="Nadpis2"/>
        <w:numPr>
          <w:ilvl w:val="0"/>
          <w:numId w:val="0"/>
        </w:numPr>
        <w:ind w:left="576" w:hanging="576"/>
        <w:rPr>
          <w:rFonts w:ascii="Times New Roman" w:eastAsiaTheme="minorHAnsi" w:hAnsi="Times New Roman" w:cs="Times New Roman"/>
          <w:bCs w:val="0"/>
          <w:i w:val="0"/>
          <w:iCs w:val="0"/>
          <w:sz w:val="24"/>
          <w:szCs w:val="24"/>
          <w:lang w:eastAsia="en-US"/>
        </w:rPr>
      </w:pPr>
      <w:bookmarkStart w:id="82" w:name="_Toc331023983"/>
      <w:r w:rsidRPr="003264DF">
        <w:rPr>
          <w:rFonts w:ascii="Times New Roman" w:eastAsiaTheme="minorHAnsi" w:hAnsi="Times New Roman" w:cs="Times New Roman"/>
          <w:bCs w:val="0"/>
          <w:i w:val="0"/>
          <w:iCs w:val="0"/>
          <w:sz w:val="24"/>
          <w:szCs w:val="24"/>
          <w:lang w:eastAsia="en-US"/>
        </w:rPr>
        <w:lastRenderedPageBreak/>
        <w:t>Protesty proti zasedání WTO v Seattlu</w:t>
      </w:r>
      <w:bookmarkEnd w:id="82"/>
    </w:p>
    <w:p w:rsidR="0016254A" w:rsidRDefault="0016254A" w:rsidP="00F1337F">
      <w:pPr>
        <w:pStyle w:val="Normlnweb"/>
        <w:widowControl w:val="0"/>
        <w:spacing w:before="0" w:beforeAutospacing="0" w:after="0" w:afterAutospacing="0" w:line="276" w:lineRule="auto"/>
        <w:ind w:firstLine="709"/>
        <w:jc w:val="both"/>
      </w:pPr>
      <w:r w:rsidRPr="00BD5F0C">
        <w:t>K organizovaným protestům proti symbolům neoliberální ekonomické globalizace, mezi něž lze řadit především mezinárodní finanční instituce, jako jsou Mezinárodní měnový fond, Světová banka, Světová obchodní organizace či jiné, docházelo již od konce 80. let 20. století. Zasedání těchto organizací se stala pravidelnou příležitostí k protestům proti neoliberalismu, deregulaci a volnému trhu. Za symbolický začátek globálně chápaného hnutí proti negativním dopadům globalizace, porušování základních norem ochrany přírody a lidských práv nadnárodními korporacemi a také za odpuštění dluhů třetího světa bývá považována tzv. bitva o Seattle</w:t>
      </w:r>
      <w:r w:rsidRPr="00F1337F">
        <w:footnoteReference w:id="41"/>
      </w:r>
      <w:r>
        <w:t>. (BARŠA</w:t>
      </w:r>
      <w:r w:rsidRPr="00BD5F0C">
        <w:t xml:space="preserve"> - CÍSAŘ, 2004)</w:t>
      </w:r>
      <w:r>
        <w:t xml:space="preserve"> </w:t>
      </w:r>
    </w:p>
    <w:p w:rsidR="0016254A" w:rsidRDefault="0016254A" w:rsidP="00F1337F">
      <w:pPr>
        <w:pStyle w:val="Normlnweb"/>
        <w:widowControl w:val="0"/>
        <w:spacing w:before="0" w:beforeAutospacing="0" w:after="0" w:afterAutospacing="0" w:line="276" w:lineRule="auto"/>
        <w:ind w:firstLine="709"/>
        <w:jc w:val="both"/>
      </w:pPr>
      <w:r>
        <w:t>Jako další důležité mezníky v rámci antiglobalizačních protestů jsou považovány násilné demonstrace proti zasedání Mezinárodního měnového fondu a Světové banky v Praze v září 2000 a násilné protesty během evropského a proamerického summitu v Göteborgu v červnu 2001, kdy policie poprvé střílela do demonstrantů. Po policejních represích v kontextu teroristických útoků v září 2001 a přesunu summitu WTO do pouště v Kataru, byla zaznamenána menší účast na velkých antiglobalizačních demonstracích (Cancún 2003, Francie 2003, Skotsko 2005, Německo 2007, Londýn 2009) a antiglobalizační hnutí se spíše zaměřují na lokální protestní aktivity. (KOLÁŘOVÁ, 2009</w:t>
      </w:r>
      <w:r w:rsidRPr="00336929">
        <w:t>)</w:t>
      </w:r>
    </w:p>
    <w:p w:rsidR="0016254A" w:rsidRPr="00BD5F0C" w:rsidRDefault="0016254A" w:rsidP="00F1337F">
      <w:pPr>
        <w:pStyle w:val="Normlnweb"/>
        <w:widowControl w:val="0"/>
        <w:spacing w:before="0" w:beforeAutospacing="0" w:after="0" w:afterAutospacing="0" w:line="276" w:lineRule="auto"/>
        <w:ind w:firstLine="709"/>
        <w:jc w:val="both"/>
      </w:pPr>
      <w:r w:rsidRPr="00BD5F0C">
        <w:t>V rozmezí od 30. listopadu do 3. prosince roku 1999 probíhalo v Seattlu zasedání třetí ministerské konference Světové obchodní organizace. Očekávalo se zahájení nového kola mnohostranných obchodních jednání v souladu s náplní negociačních oblastí stanovenou první konferencí v Singapuru v roce 1996</w:t>
      </w:r>
      <w:r w:rsidRPr="00F1337F">
        <w:footnoteReference w:id="42"/>
      </w:r>
      <w:r w:rsidRPr="00BD5F0C">
        <w:t xml:space="preserve">. (MPO 2005) Za tímto účelem se do Seattlu sjelo více jak 6 000 delegátů ze 135 členských států. Vzhledem k rozporům mezi USA a EU i mezi vyspělými a rozvojovými zeměmi a také díky masovým protestům odpůrců současné neoliberální podoby globalizace skončilo jednání </w:t>
      </w:r>
      <w:r>
        <w:t xml:space="preserve">v Seattlu neúspěchem. (GILLHAM </w:t>
      </w:r>
      <w:r w:rsidRPr="00BD5F0C">
        <w:t>– MARX, 2003)</w:t>
      </w:r>
    </w:p>
    <w:p w:rsidR="0016254A" w:rsidRPr="00BD5F0C" w:rsidRDefault="0016254A" w:rsidP="00F1337F">
      <w:pPr>
        <w:pStyle w:val="Normlnweb"/>
        <w:widowControl w:val="0"/>
        <w:spacing w:before="0" w:beforeAutospacing="0" w:after="0" w:afterAutospacing="0" w:line="276" w:lineRule="auto"/>
        <w:ind w:firstLine="709"/>
        <w:jc w:val="both"/>
      </w:pPr>
      <w:r w:rsidRPr="00BD5F0C">
        <w:t xml:space="preserve">Bitva o Seattle se odehrávala fakticky na dvou frontách – tedy vně i uvnitř konferenčního centra, kde se odehrávalo zasedání WTO. Na jedné straně se uvnitř konferenčního centra odehrávala vypjatá jednání delegátů. Na straně druhé probíhaly venku masové protesty proti politice WTO, kde chtěla široká a různorodá skupina protestujících vyjádřit svůj názor. </w:t>
      </w:r>
    </w:p>
    <w:p w:rsidR="0016254A" w:rsidRPr="003264DF" w:rsidRDefault="0016254A" w:rsidP="003264DF">
      <w:pPr>
        <w:pStyle w:val="Nadpis3"/>
        <w:numPr>
          <w:ilvl w:val="0"/>
          <w:numId w:val="0"/>
        </w:numPr>
        <w:rPr>
          <w:rFonts w:ascii="Times New Roman" w:eastAsiaTheme="minorHAnsi" w:hAnsi="Times New Roman" w:cs="Times New Roman"/>
          <w:bCs w:val="0"/>
          <w:sz w:val="28"/>
          <w:szCs w:val="28"/>
          <w:lang w:eastAsia="en-US"/>
        </w:rPr>
      </w:pPr>
      <w:bookmarkStart w:id="83" w:name="_Toc331023984"/>
      <w:r w:rsidRPr="003264DF">
        <w:rPr>
          <w:rFonts w:ascii="Times New Roman" w:eastAsiaTheme="minorHAnsi" w:hAnsi="Times New Roman" w:cs="Times New Roman"/>
          <w:bCs w:val="0"/>
          <w:sz w:val="28"/>
          <w:szCs w:val="28"/>
          <w:lang w:eastAsia="en-US"/>
        </w:rPr>
        <w:t>Bitva o Seattle</w:t>
      </w:r>
      <w:bookmarkEnd w:id="83"/>
    </w:p>
    <w:p w:rsidR="0016254A" w:rsidRPr="003264DF" w:rsidRDefault="0016254A" w:rsidP="003264DF">
      <w:pPr>
        <w:pStyle w:val="Nadpis4"/>
        <w:numPr>
          <w:ilvl w:val="0"/>
          <w:numId w:val="0"/>
        </w:numPr>
        <w:ind w:left="864" w:hanging="864"/>
        <w:rPr>
          <w:rFonts w:eastAsiaTheme="minorHAnsi"/>
          <w:bCs w:val="0"/>
          <w:sz w:val="24"/>
          <w:szCs w:val="24"/>
          <w:lang w:eastAsia="en-US"/>
        </w:rPr>
      </w:pPr>
      <w:r w:rsidRPr="003264DF">
        <w:rPr>
          <w:rFonts w:eastAsiaTheme="minorHAnsi"/>
          <w:bCs w:val="0"/>
          <w:sz w:val="24"/>
          <w:szCs w:val="24"/>
          <w:lang w:eastAsia="en-US"/>
        </w:rPr>
        <w:t>Kdo a proč v Seattlu protestoval</w:t>
      </w:r>
    </w:p>
    <w:p w:rsidR="0016254A" w:rsidRPr="00BD5F0C" w:rsidRDefault="0016254A" w:rsidP="00F1337F">
      <w:pPr>
        <w:pStyle w:val="Normlnweb"/>
        <w:widowControl w:val="0"/>
        <w:spacing w:before="0" w:beforeAutospacing="0" w:after="0" w:afterAutospacing="0" w:line="276" w:lineRule="auto"/>
        <w:ind w:firstLine="709"/>
        <w:jc w:val="both"/>
      </w:pPr>
      <w:r w:rsidRPr="00BD5F0C">
        <w:t>Protestující v Seattlu představovali široké spektrum různých</w:t>
      </w:r>
      <w:r>
        <w:t>,</w:t>
      </w:r>
      <w:r w:rsidRPr="00BD5F0C">
        <w:t xml:space="preserve"> </w:t>
      </w:r>
      <w:r>
        <w:t>často i protichůdných</w:t>
      </w:r>
      <w:r w:rsidRPr="00BD5F0C">
        <w:t xml:space="preserve"> zájmů</w:t>
      </w:r>
      <w:r>
        <w:t xml:space="preserve"> </w:t>
      </w:r>
      <w:r w:rsidRPr="00BD5F0C">
        <w:t>i zájmových skupin. Byli mezi nimi zastoupeni odboráři, zastánci odpuštění dluhů třetímu světu, obhájci spotřebitelského aktivismu</w:t>
      </w:r>
      <w:r w:rsidRPr="00F1337F">
        <w:footnoteReference w:id="43"/>
      </w:r>
      <w:r w:rsidRPr="00BD5F0C">
        <w:t xml:space="preserve">, původní obyvatelé Ameriky, drobní </w:t>
      </w:r>
      <w:r w:rsidRPr="00BD5F0C">
        <w:lastRenderedPageBreak/>
        <w:t>zemědělci, náboženské skupiny, obhájci práv zvířat a další. Podle odhadů se protestů účastnilo více než 700 různých zájmových skupin z mnoha zemí, mezi nimi například Greenpeace, Rainforest Action Networtk</w:t>
      </w:r>
      <w:r w:rsidRPr="00F1337F">
        <w:footnoteReference w:id="44"/>
      </w:r>
      <w:r w:rsidRPr="00BD5F0C">
        <w:t>, Global Exchange</w:t>
      </w:r>
      <w:r w:rsidRPr="00F1337F">
        <w:footnoteReference w:id="45"/>
      </w:r>
      <w:r w:rsidRPr="00BD5F0C">
        <w:t>, Jubilee 2000</w:t>
      </w:r>
      <w:r w:rsidRPr="00F1337F">
        <w:footnoteReference w:id="46"/>
      </w:r>
      <w:r w:rsidRPr="00BD5F0C">
        <w:t xml:space="preserve"> a AFL-CIO</w:t>
      </w:r>
      <w:r w:rsidRPr="00F1337F">
        <w:footnoteReference w:id="47"/>
      </w:r>
      <w:r>
        <w:t xml:space="preserve">. (GILLHAM </w:t>
      </w:r>
      <w:r w:rsidRPr="00BD5F0C">
        <w:t>– MARX, 2003; RUPERT, 2005)</w:t>
      </w:r>
    </w:p>
    <w:p w:rsidR="0016254A" w:rsidRPr="00BD5F0C" w:rsidRDefault="0016254A" w:rsidP="00F1337F">
      <w:pPr>
        <w:pStyle w:val="Normlnweb"/>
        <w:widowControl w:val="0"/>
        <w:spacing w:before="0" w:beforeAutospacing="0" w:after="0" w:afterAutospacing="0" w:line="276" w:lineRule="auto"/>
        <w:ind w:firstLine="709"/>
        <w:jc w:val="both"/>
      </w:pPr>
      <w:r w:rsidRPr="00BD5F0C">
        <w:t>Značně různorodá skupina protestantů byla spojena silným odporem proti neoliberální globalizaci, který ji přivedl až do ulic Seattlu</w:t>
      </w:r>
      <w:r>
        <w:t xml:space="preserve"> (viz obr. 2)</w:t>
      </w:r>
      <w:r w:rsidRPr="00BD5F0C">
        <w:t>. Lidé v různých kontextech zažívali problémy a vnitřní rozpory spojené s mocí kapitálu a přesněji s projekty disciplinárního neoliberalismu</w:t>
      </w:r>
      <w:r w:rsidRPr="00F1337F">
        <w:footnoteReference w:id="48"/>
      </w:r>
      <w:r w:rsidRPr="00BD5F0C">
        <w:t xml:space="preserve"> </w:t>
      </w:r>
      <w:r>
        <w:rPr>
          <w:noProof/>
        </w:rPr>
        <mc:AlternateContent>
          <mc:Choice Requires="wps">
            <w:drawing>
              <wp:anchor distT="0" distB="0" distL="114300" distR="114300" simplePos="0" relativeHeight="251660288" behindDoc="0" locked="0" layoutInCell="1" allowOverlap="1" wp14:anchorId="78123F65" wp14:editId="6F16EBF7">
                <wp:simplePos x="0" y="0"/>
                <wp:positionH relativeFrom="column">
                  <wp:align>right</wp:align>
                </wp:positionH>
                <wp:positionV relativeFrom="paragraph">
                  <wp:posOffset>5715</wp:posOffset>
                </wp:positionV>
                <wp:extent cx="2993390" cy="2221230"/>
                <wp:effectExtent l="8890" t="6350" r="7620" b="10795"/>
                <wp:wrapSquare wrapText="bothSides"/>
                <wp:docPr id="34" name="Textové pole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3390" cy="2221230"/>
                        </a:xfrm>
                        <a:prstGeom prst="rect">
                          <a:avLst/>
                        </a:prstGeom>
                        <a:solidFill>
                          <a:srgbClr val="FFFFFF"/>
                        </a:solidFill>
                        <a:ln w="9525">
                          <a:solidFill>
                            <a:srgbClr val="000000"/>
                          </a:solidFill>
                          <a:miter lim="800000"/>
                          <a:headEnd/>
                          <a:tailEnd/>
                        </a:ln>
                      </wps:spPr>
                      <wps:txbx>
                        <w:txbxContent>
                          <w:p w:rsidR="001F4DC5" w:rsidRPr="0098313B" w:rsidRDefault="001F4DC5" w:rsidP="0016254A">
                            <w:pPr>
                              <w:rPr>
                                <w:rFonts w:ascii="Times New Roman" w:hAnsi="Times New Roman"/>
                                <w:sz w:val="24"/>
                                <w:szCs w:val="24"/>
                              </w:rPr>
                            </w:pPr>
                            <w:r>
                              <w:rPr>
                                <w:rFonts w:ascii="Times New Roman" w:hAnsi="Times New Roman"/>
                                <w:noProof/>
                                <w:sz w:val="24"/>
                                <w:szCs w:val="24"/>
                                <w:lang w:eastAsia="cs-CZ"/>
                              </w:rPr>
                              <w:drawing>
                                <wp:inline distT="0" distB="0" distL="0" distR="0" wp14:anchorId="0EA29F91" wp14:editId="0FD027B7">
                                  <wp:extent cx="2796540" cy="1797050"/>
                                  <wp:effectExtent l="0" t="0" r="3810" b="0"/>
                                  <wp:docPr id="58" name="Obrázek 58" descr="wto-pro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to-protes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96540" cy="1797050"/>
                                          </a:xfrm>
                                          <a:prstGeom prst="rect">
                                            <a:avLst/>
                                          </a:prstGeom>
                                          <a:noFill/>
                                          <a:ln>
                                            <a:noFill/>
                                          </a:ln>
                                        </pic:spPr>
                                      </pic:pic>
                                    </a:graphicData>
                                  </a:graphic>
                                </wp:inline>
                              </w:drawing>
                            </w:r>
                          </w:p>
                          <w:p w:rsidR="001F4DC5" w:rsidRPr="0098313B" w:rsidRDefault="001F4DC5" w:rsidP="0016254A">
                            <w:pPr>
                              <w:rPr>
                                <w:rFonts w:ascii="Times New Roman" w:hAnsi="Times New Roman"/>
                                <w:sz w:val="20"/>
                                <w:szCs w:val="20"/>
                              </w:rPr>
                            </w:pPr>
                            <w:r w:rsidRPr="0098313B">
                              <w:rPr>
                                <w:rFonts w:ascii="Times New Roman" w:hAnsi="Times New Roman"/>
                                <w:sz w:val="24"/>
                                <w:szCs w:val="24"/>
                              </w:rPr>
                              <w:t xml:space="preserve">Obr. 2. </w:t>
                            </w:r>
                            <w:r w:rsidRPr="0098313B">
                              <w:rPr>
                                <w:rFonts w:ascii="Times New Roman" w:hAnsi="Times New Roman"/>
                                <w:b/>
                                <w:sz w:val="24"/>
                                <w:szCs w:val="24"/>
                              </w:rPr>
                              <w:t>Protesty v Seattlu 1999</w:t>
                            </w:r>
                            <w:r>
                              <w:rPr>
                                <w:rFonts w:ascii="Times New Roman" w:hAnsi="Times New Roman"/>
                                <w:sz w:val="24"/>
                                <w:szCs w:val="24"/>
                              </w:rPr>
                              <w:t xml:space="preserve"> </w:t>
                            </w:r>
                            <w:r w:rsidRPr="0098313B">
                              <w:rPr>
                                <w:rFonts w:ascii="Times New Roman" w:hAnsi="Times New Roman"/>
                                <w:sz w:val="20"/>
                                <w:szCs w:val="20"/>
                              </w:rPr>
                              <w:t xml:space="preserve">(převzato: </w:t>
                            </w:r>
                          </w:p>
                          <w:p w:rsidR="001F4DC5" w:rsidRPr="0098313B" w:rsidRDefault="001F4DC5" w:rsidP="0016254A">
                            <w:pPr>
                              <w:rPr>
                                <w:rFonts w:ascii="Times New Roman" w:hAnsi="Times New Roman"/>
                                <w:sz w:val="20"/>
                                <w:szCs w:val="20"/>
                              </w:rPr>
                            </w:pPr>
                            <w:r>
                              <w:rPr>
                                <w:rFonts w:ascii="Times New Roman" w:hAnsi="Times New Roman"/>
                                <w:sz w:val="20"/>
                                <w:szCs w:val="20"/>
                              </w:rPr>
                              <w:t>Al Crespo</w:t>
                            </w:r>
                            <w:r w:rsidRPr="0098313B">
                              <w:rPr>
                                <w:rFonts w:ascii="Times New Roman" w:hAnsi="Times New Roman"/>
                                <w:sz w:val="20"/>
                                <w:szCs w:val="20"/>
                              </w:rPr>
                              <w:t>, 1999)</w:t>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ové pole 34" o:spid="_x0000_s1027" type="#_x0000_t202" style="position:absolute;left:0;text-align:left;margin-left:184.5pt;margin-top:.45pt;width:235.7pt;height:174.9pt;z-index:251660288;visibility:visible;mso-wrap-style:none;mso-width-percent:400;mso-height-percent:200;mso-wrap-distance-left:9pt;mso-wrap-distance-top:0;mso-wrap-distance-right:9pt;mso-wrap-distance-bottom:0;mso-position-horizontal:right;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">
                <v:textbox style="mso-fit-shape-to-text:t">
                  <w:txbxContent>
                    <w:p w:rsidR="001F4DC5" w:rsidRPr="0098313B" w:rsidRDefault="001F4DC5" w:rsidP="0016254A">
                      <w:pPr>
                        <w:rPr>
                          <w:rFonts w:ascii="Times New Roman" w:hAnsi="Times New Roman"/>
                          <w:sz w:val="24"/>
                          <w:szCs w:val="24"/>
                        </w:rPr>
                      </w:pPr>
                      <w:r>
                        <w:rPr>
                          <w:rFonts w:ascii="Times New Roman" w:hAnsi="Times New Roman"/>
                          <w:noProof/>
                          <w:sz w:val="24"/>
                          <w:szCs w:val="24"/>
                          <w:lang w:eastAsia="cs-CZ"/>
                        </w:rPr>
                        <w:drawing>
                          <wp:inline distT="0" distB="0" distL="0" distR="0" wp14:anchorId="68C321A0" wp14:editId="20EDF6BB">
                            <wp:extent cx="2796540" cy="1797050"/>
                            <wp:effectExtent l="0" t="0" r="3810" b="0"/>
                            <wp:docPr id="58" name="Obrázek 58" descr="wto-pro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to-protes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96540" cy="1797050"/>
                                    </a:xfrm>
                                    <a:prstGeom prst="rect">
                                      <a:avLst/>
                                    </a:prstGeom>
                                    <a:noFill/>
                                    <a:ln>
                                      <a:noFill/>
                                    </a:ln>
                                  </pic:spPr>
                                </pic:pic>
                              </a:graphicData>
                            </a:graphic>
                          </wp:inline>
                        </w:drawing>
                      </w:r>
                    </w:p>
                    <w:p w:rsidR="001F4DC5" w:rsidRPr="0098313B" w:rsidRDefault="001F4DC5" w:rsidP="0016254A">
                      <w:pPr>
                        <w:rPr>
                          <w:rFonts w:ascii="Times New Roman" w:hAnsi="Times New Roman"/>
                          <w:sz w:val="20"/>
                          <w:szCs w:val="20"/>
                        </w:rPr>
                      </w:pPr>
                      <w:r w:rsidRPr="0098313B">
                        <w:rPr>
                          <w:rFonts w:ascii="Times New Roman" w:hAnsi="Times New Roman"/>
                          <w:sz w:val="24"/>
                          <w:szCs w:val="24"/>
                        </w:rPr>
                        <w:t xml:space="preserve">Obr. 2. </w:t>
                      </w:r>
                      <w:r w:rsidRPr="0098313B">
                        <w:rPr>
                          <w:rFonts w:ascii="Times New Roman" w:hAnsi="Times New Roman"/>
                          <w:b/>
                          <w:sz w:val="24"/>
                          <w:szCs w:val="24"/>
                        </w:rPr>
                        <w:t>Protesty v Seattlu 1999</w:t>
                      </w:r>
                      <w:r>
                        <w:rPr>
                          <w:rFonts w:ascii="Times New Roman" w:hAnsi="Times New Roman"/>
                          <w:sz w:val="24"/>
                          <w:szCs w:val="24"/>
                        </w:rPr>
                        <w:t xml:space="preserve"> </w:t>
                      </w:r>
                      <w:r w:rsidRPr="0098313B">
                        <w:rPr>
                          <w:rFonts w:ascii="Times New Roman" w:hAnsi="Times New Roman"/>
                          <w:sz w:val="20"/>
                          <w:szCs w:val="20"/>
                        </w:rPr>
                        <w:t xml:space="preserve">(převzato: </w:t>
                      </w:r>
                    </w:p>
                    <w:p w:rsidR="001F4DC5" w:rsidRPr="0098313B" w:rsidRDefault="001F4DC5" w:rsidP="0016254A">
                      <w:pPr>
                        <w:rPr>
                          <w:rFonts w:ascii="Times New Roman" w:hAnsi="Times New Roman"/>
                          <w:sz w:val="20"/>
                          <w:szCs w:val="20"/>
                        </w:rPr>
                      </w:pPr>
                      <w:r>
                        <w:rPr>
                          <w:rFonts w:ascii="Times New Roman" w:hAnsi="Times New Roman"/>
                          <w:sz w:val="20"/>
                          <w:szCs w:val="20"/>
                        </w:rPr>
                        <w:t>Al Crespo</w:t>
                      </w:r>
                      <w:r w:rsidRPr="0098313B">
                        <w:rPr>
                          <w:rFonts w:ascii="Times New Roman" w:hAnsi="Times New Roman"/>
                          <w:sz w:val="20"/>
                          <w:szCs w:val="20"/>
                        </w:rPr>
                        <w:t>, 1999)</w:t>
                      </w:r>
                    </w:p>
                  </w:txbxContent>
                </v:textbox>
                <w10:wrap type="square"/>
              </v:shape>
            </w:pict>
          </mc:Fallback>
        </mc:AlternateContent>
      </w:r>
      <w:r w:rsidRPr="00BD5F0C">
        <w:t>a</w:t>
      </w:r>
      <w:r w:rsidRPr="00F1337F">
        <w:t xml:space="preserve"> </w:t>
      </w:r>
      <w:r w:rsidRPr="004B648E">
        <w:t>moderního konstitucionalismu</w:t>
      </w:r>
      <w:r w:rsidRPr="00F1337F">
        <w:footnoteReference w:id="49"/>
      </w:r>
      <w:r w:rsidRPr="00BD5F0C">
        <w:t>. Lze vysledovat konkrétní příčiny, které vedly k mobilizaci tak široké masy protestujících. Jedním z faktorů bylo to, že demonstranti vnímali WTO jako organizaci, která má v úmyslu prostřednictvím závazně právních mechanismů institucionalizovat široké spektrum práv a svobod pro nadnárodní korporace a umožnit jim tak větší svobodu podnikání a celosvětovou ochranu práv soukromého vlastnictví. V jejich očích šlo v podstatě o to, že deregulace, privatizace a liberalizace posilují zájmy pouze určitých aktérů a také o to, jak různé obchodní a investiční dohody odeberou státům část kontroly nad zásadními ekonomickými, sociálními a environmentálními politikami. (GILL, Stephen 2005)</w:t>
      </w:r>
    </w:p>
    <w:p w:rsidR="0016254A" w:rsidRPr="00BD5F0C" w:rsidRDefault="0016254A" w:rsidP="00F1337F">
      <w:pPr>
        <w:pStyle w:val="Normlnweb"/>
        <w:widowControl w:val="0"/>
        <w:spacing w:before="0" w:beforeAutospacing="0" w:after="0" w:afterAutospacing="0" w:line="276" w:lineRule="auto"/>
        <w:ind w:firstLine="709"/>
        <w:jc w:val="both"/>
      </w:pPr>
      <w:r w:rsidRPr="00BD5F0C">
        <w:t>Roli hrály také ekonomické a sociální faktory. Disciplinární neoliberalismus vede ve svém důsledku k tomu, že se zvyšuje podřízenost zaměstnanců zároveň i míra jejich využívání. Také bývá spojován intenzifikací krize sociální reprodukce</w:t>
      </w:r>
      <w:r w:rsidRPr="00F1337F">
        <w:footnoteReference w:id="50"/>
      </w:r>
      <w:r w:rsidRPr="00BD5F0C">
        <w:t>. Otevření trhu tvrdším konkurenčním podmínkám a břemeno dopadů strukturálního přizpůsobení nutí státy třetího světa k redukci tzv. sociálního státu i zajišťování zdravotní péče a vzdělání. Taková opatření nejvíce dopadají na ramena lidí s nízkým příjmem, ženy i děti, slabší členy společnosti a na starší či zdravotně postižené osoby. (GILL, 2005)</w:t>
      </w:r>
    </w:p>
    <w:p w:rsidR="0016254A" w:rsidRPr="00BD5F0C" w:rsidRDefault="0016254A" w:rsidP="00F1337F">
      <w:pPr>
        <w:pStyle w:val="Normlnweb"/>
        <w:widowControl w:val="0"/>
        <w:spacing w:before="0" w:beforeAutospacing="0" w:after="0" w:afterAutospacing="0" w:line="276" w:lineRule="auto"/>
        <w:ind w:firstLine="709"/>
        <w:jc w:val="both"/>
      </w:pPr>
      <w:r w:rsidRPr="00BD5F0C">
        <w:t xml:space="preserve">V neposlední řadě byl nesouhlasný postoj spojen s tím, jak je sociokulturní a biologická diverzita nahrazována biologickými monokulturami pod výsadní kontrolou </w:t>
      </w:r>
      <w:r w:rsidRPr="00BD5F0C">
        <w:lastRenderedPageBreak/>
        <w:t>nadnárodních korporací, což se pojí se ztrátou potravinové bezpečnosti a novými formami všeobecného zdravotního rizika a podrýváním tradičního způsobu života lokálních komunit. Demonstranti poukazovali zejména na to, že pokud by došlo v Seattlu k ratifikaci části agendy WTO  umožňující liberalizaci trhu s geneticky modifikovanými organismy, privatizaci vodních zdrojů a patentování prakticky všech forem života a to i těch, které se v různých kulturách využívají tisíce let, vedlo by to k tomu, že by se nadnárodní korporace pokusily monopolizovat kontrolu nad potravinami, což by mělo nedozírné důsledky. (GILL, 2005)</w:t>
      </w:r>
    </w:p>
    <w:p w:rsidR="0016254A" w:rsidRPr="003264DF" w:rsidRDefault="0016254A" w:rsidP="003264DF">
      <w:pPr>
        <w:pStyle w:val="Nadpis4"/>
        <w:numPr>
          <w:ilvl w:val="0"/>
          <w:numId w:val="0"/>
        </w:numPr>
        <w:ind w:left="864" w:hanging="864"/>
        <w:rPr>
          <w:rFonts w:eastAsiaTheme="minorHAnsi"/>
          <w:bCs w:val="0"/>
          <w:sz w:val="24"/>
          <w:szCs w:val="24"/>
          <w:lang w:eastAsia="en-US"/>
        </w:rPr>
      </w:pPr>
      <w:r w:rsidRPr="003264DF">
        <w:rPr>
          <w:rFonts w:eastAsiaTheme="minorHAnsi"/>
          <w:bCs w:val="0"/>
          <w:sz w:val="24"/>
          <w:szCs w:val="24"/>
          <w:lang w:eastAsia="en-US"/>
        </w:rPr>
        <w:t>Průběh protestů</w:t>
      </w:r>
    </w:p>
    <w:p w:rsidR="0016254A" w:rsidRPr="00BD5F0C" w:rsidRDefault="0016254A" w:rsidP="00F1337F">
      <w:pPr>
        <w:pStyle w:val="Normlnweb"/>
        <w:widowControl w:val="0"/>
        <w:spacing w:before="0" w:beforeAutospacing="0" w:after="0" w:afterAutospacing="0" w:line="276" w:lineRule="auto"/>
        <w:ind w:firstLine="709"/>
        <w:jc w:val="both"/>
      </w:pPr>
      <w:r>
        <w:rPr>
          <w:noProof/>
        </w:rPr>
        <mc:AlternateContent>
          <mc:Choice Requires="wps">
            <w:drawing>
              <wp:anchor distT="0" distB="0" distL="114300" distR="114300" simplePos="0" relativeHeight="251662336" behindDoc="0" locked="0" layoutInCell="1" allowOverlap="1" wp14:anchorId="5D6760AF" wp14:editId="61F50073">
                <wp:simplePos x="0" y="0"/>
                <wp:positionH relativeFrom="column">
                  <wp:posOffset>3597910</wp:posOffset>
                </wp:positionH>
                <wp:positionV relativeFrom="paragraph">
                  <wp:posOffset>564515</wp:posOffset>
                </wp:positionV>
                <wp:extent cx="2125345" cy="2400300"/>
                <wp:effectExtent l="8890" t="12065" r="8890" b="6985"/>
                <wp:wrapSquare wrapText="bothSides"/>
                <wp:docPr id="33" name="Textové pole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345" cy="2400300"/>
                        </a:xfrm>
                        <a:prstGeom prst="rect">
                          <a:avLst/>
                        </a:prstGeom>
                        <a:solidFill>
                          <a:srgbClr val="FFFFFF"/>
                        </a:solidFill>
                        <a:ln w="9525">
                          <a:solidFill>
                            <a:srgbClr val="000000"/>
                          </a:solidFill>
                          <a:miter lim="800000"/>
                          <a:headEnd/>
                          <a:tailEnd/>
                        </a:ln>
                      </wps:spPr>
                      <wps:txbx>
                        <w:txbxContent>
                          <w:p w:rsidR="001F4DC5" w:rsidRDefault="001F4DC5" w:rsidP="0016254A">
                            <w:r>
                              <w:rPr>
                                <w:noProof/>
                                <w:lang w:eastAsia="cs-CZ"/>
                              </w:rPr>
                              <w:drawing>
                                <wp:inline distT="0" distB="0" distL="0" distR="0" wp14:anchorId="68240898" wp14:editId="496A9A97">
                                  <wp:extent cx="1934845" cy="1807845"/>
                                  <wp:effectExtent l="0" t="0" r="8255" b="1905"/>
                                  <wp:docPr id="59" name="Obrázek 59" descr="200347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034724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34845" cy="1807845"/>
                                          </a:xfrm>
                                          <a:prstGeom prst="rect">
                                            <a:avLst/>
                                          </a:prstGeom>
                                          <a:noFill/>
                                          <a:ln>
                                            <a:noFill/>
                                          </a:ln>
                                        </pic:spPr>
                                      </pic:pic>
                                    </a:graphicData>
                                  </a:graphic>
                                </wp:inline>
                              </w:drawing>
                            </w:r>
                          </w:p>
                          <w:p w:rsidR="001F4DC5" w:rsidRDefault="001F4DC5" w:rsidP="0016254A">
                            <w:pPr>
                              <w:rPr>
                                <w:rFonts w:ascii="Times New Roman" w:hAnsi="Times New Roman"/>
                                <w:b/>
                                <w:sz w:val="24"/>
                                <w:szCs w:val="24"/>
                              </w:rPr>
                            </w:pPr>
                            <w:r w:rsidRPr="00AB6DDA">
                              <w:rPr>
                                <w:rFonts w:ascii="Times New Roman" w:hAnsi="Times New Roman"/>
                                <w:sz w:val="24"/>
                                <w:szCs w:val="24"/>
                              </w:rPr>
                              <w:t>Obr.</w:t>
                            </w:r>
                            <w:r>
                              <w:rPr>
                                <w:rFonts w:ascii="Times New Roman" w:hAnsi="Times New Roman"/>
                                <w:sz w:val="24"/>
                                <w:szCs w:val="24"/>
                              </w:rPr>
                              <w:t xml:space="preserve"> 3.</w:t>
                            </w:r>
                            <w:r w:rsidRPr="00AB6DDA">
                              <w:rPr>
                                <w:rFonts w:ascii="Times New Roman" w:hAnsi="Times New Roman"/>
                                <w:sz w:val="24"/>
                                <w:szCs w:val="24"/>
                              </w:rPr>
                              <w:t xml:space="preserve"> </w:t>
                            </w:r>
                            <w:r w:rsidRPr="00AB6DDA">
                              <w:rPr>
                                <w:rFonts w:ascii="Times New Roman" w:hAnsi="Times New Roman"/>
                                <w:b/>
                                <w:sz w:val="24"/>
                                <w:szCs w:val="24"/>
                              </w:rPr>
                              <w:t xml:space="preserve">Zásah policie proti </w:t>
                            </w:r>
                          </w:p>
                          <w:p w:rsidR="001F4DC5" w:rsidRDefault="001F4DC5" w:rsidP="0016254A">
                            <w:pPr>
                              <w:rPr>
                                <w:rFonts w:ascii="Times New Roman" w:hAnsi="Times New Roman"/>
                                <w:sz w:val="20"/>
                                <w:szCs w:val="20"/>
                              </w:rPr>
                            </w:pPr>
                            <w:r>
                              <w:rPr>
                                <w:rFonts w:ascii="Times New Roman" w:hAnsi="Times New Roman"/>
                                <w:b/>
                                <w:sz w:val="24"/>
                                <w:szCs w:val="24"/>
                              </w:rPr>
                              <w:t>d</w:t>
                            </w:r>
                            <w:r w:rsidRPr="00AB6DDA">
                              <w:rPr>
                                <w:rFonts w:ascii="Times New Roman" w:hAnsi="Times New Roman"/>
                                <w:b/>
                                <w:sz w:val="24"/>
                                <w:szCs w:val="24"/>
                              </w:rPr>
                              <w:t>emonstrantům</w:t>
                            </w:r>
                            <w:r>
                              <w:rPr>
                                <w:rFonts w:ascii="Times New Roman" w:hAnsi="Times New Roman"/>
                                <w:b/>
                                <w:sz w:val="24"/>
                                <w:szCs w:val="24"/>
                              </w:rPr>
                              <w:t xml:space="preserve"> </w:t>
                            </w:r>
                            <w:r w:rsidRPr="00AB6DDA">
                              <w:rPr>
                                <w:rFonts w:ascii="Times New Roman" w:hAnsi="Times New Roman"/>
                                <w:sz w:val="20"/>
                                <w:szCs w:val="20"/>
                              </w:rPr>
                              <w:t xml:space="preserve">(převzato: </w:t>
                            </w:r>
                          </w:p>
                          <w:p w:rsidR="001F4DC5" w:rsidRPr="00AB6DDA" w:rsidRDefault="001F4DC5" w:rsidP="0016254A">
                            <w:pPr>
                              <w:rPr>
                                <w:rFonts w:ascii="Times New Roman" w:hAnsi="Times New Roman"/>
                                <w:sz w:val="24"/>
                                <w:szCs w:val="24"/>
                              </w:rPr>
                            </w:pPr>
                            <w:r>
                              <w:rPr>
                                <w:rFonts w:ascii="Times New Roman" w:hAnsi="Times New Roman"/>
                                <w:sz w:val="20"/>
                                <w:szCs w:val="20"/>
                                <w:shd w:val="clear" w:color="auto" w:fill="FFFFFF"/>
                              </w:rPr>
                              <w:t>The Seattle Times</w:t>
                            </w:r>
                            <w:r w:rsidRPr="00AB6DDA">
                              <w:rPr>
                                <w:rFonts w:ascii="Times New Roman" w:hAnsi="Times New Roman"/>
                                <w:sz w:val="20"/>
                                <w:szCs w:val="20"/>
                                <w:shd w:val="clear" w:color="auto" w:fill="FFFFFF"/>
                              </w:rPr>
                              <w:t>, 1999)</w:t>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ové pole 33" o:spid="_x0000_s1028" type="#_x0000_t202" style="position:absolute;left:0;text-align:left;margin-left:283.3pt;margin-top:44.45pt;width:167.35pt;height:189pt;z-index:251662336;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">
                <v:textbox style="mso-fit-shape-to-text:t">
                  <w:txbxContent>
                    <w:p w:rsidR="001F4DC5" w:rsidRDefault="001F4DC5" w:rsidP="0016254A">
                      <w:r>
                        <w:rPr>
                          <w:noProof/>
                          <w:lang w:eastAsia="cs-CZ"/>
                        </w:rPr>
                        <w:drawing>
                          <wp:inline distT="0" distB="0" distL="0" distR="0" wp14:anchorId="52026E37" wp14:editId="424B0760">
                            <wp:extent cx="1934845" cy="1807845"/>
                            <wp:effectExtent l="0" t="0" r="8255" b="1905"/>
                            <wp:docPr id="59" name="Obrázek 59" descr="200347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034724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34845" cy="1807845"/>
                                    </a:xfrm>
                                    <a:prstGeom prst="rect">
                                      <a:avLst/>
                                    </a:prstGeom>
                                    <a:noFill/>
                                    <a:ln>
                                      <a:noFill/>
                                    </a:ln>
                                  </pic:spPr>
                                </pic:pic>
                              </a:graphicData>
                            </a:graphic>
                          </wp:inline>
                        </w:drawing>
                      </w:r>
                    </w:p>
                    <w:p w:rsidR="001F4DC5" w:rsidRDefault="001F4DC5" w:rsidP="0016254A">
                      <w:pPr>
                        <w:rPr>
                          <w:rFonts w:ascii="Times New Roman" w:hAnsi="Times New Roman"/>
                          <w:b/>
                          <w:sz w:val="24"/>
                          <w:szCs w:val="24"/>
                        </w:rPr>
                      </w:pPr>
                      <w:r w:rsidRPr="00AB6DDA">
                        <w:rPr>
                          <w:rFonts w:ascii="Times New Roman" w:hAnsi="Times New Roman"/>
                          <w:sz w:val="24"/>
                          <w:szCs w:val="24"/>
                        </w:rPr>
                        <w:t>Obr.</w:t>
                      </w:r>
                      <w:r>
                        <w:rPr>
                          <w:rFonts w:ascii="Times New Roman" w:hAnsi="Times New Roman"/>
                          <w:sz w:val="24"/>
                          <w:szCs w:val="24"/>
                        </w:rPr>
                        <w:t xml:space="preserve"> 3.</w:t>
                      </w:r>
                      <w:r w:rsidRPr="00AB6DDA">
                        <w:rPr>
                          <w:rFonts w:ascii="Times New Roman" w:hAnsi="Times New Roman"/>
                          <w:sz w:val="24"/>
                          <w:szCs w:val="24"/>
                        </w:rPr>
                        <w:t xml:space="preserve"> </w:t>
                      </w:r>
                      <w:r w:rsidRPr="00AB6DDA">
                        <w:rPr>
                          <w:rFonts w:ascii="Times New Roman" w:hAnsi="Times New Roman"/>
                          <w:b/>
                          <w:sz w:val="24"/>
                          <w:szCs w:val="24"/>
                        </w:rPr>
                        <w:t xml:space="preserve">Zásah policie proti </w:t>
                      </w:r>
                    </w:p>
                    <w:p w:rsidR="001F4DC5" w:rsidRDefault="001F4DC5" w:rsidP="0016254A">
                      <w:pPr>
                        <w:rPr>
                          <w:rFonts w:ascii="Times New Roman" w:hAnsi="Times New Roman"/>
                          <w:sz w:val="20"/>
                          <w:szCs w:val="20"/>
                        </w:rPr>
                      </w:pPr>
                      <w:r>
                        <w:rPr>
                          <w:rFonts w:ascii="Times New Roman" w:hAnsi="Times New Roman"/>
                          <w:b/>
                          <w:sz w:val="24"/>
                          <w:szCs w:val="24"/>
                        </w:rPr>
                        <w:t>d</w:t>
                      </w:r>
                      <w:r w:rsidRPr="00AB6DDA">
                        <w:rPr>
                          <w:rFonts w:ascii="Times New Roman" w:hAnsi="Times New Roman"/>
                          <w:b/>
                          <w:sz w:val="24"/>
                          <w:szCs w:val="24"/>
                        </w:rPr>
                        <w:t>emonstrantům</w:t>
                      </w:r>
                      <w:r>
                        <w:rPr>
                          <w:rFonts w:ascii="Times New Roman" w:hAnsi="Times New Roman"/>
                          <w:b/>
                          <w:sz w:val="24"/>
                          <w:szCs w:val="24"/>
                        </w:rPr>
                        <w:t xml:space="preserve"> </w:t>
                      </w:r>
                      <w:r w:rsidRPr="00AB6DDA">
                        <w:rPr>
                          <w:rFonts w:ascii="Times New Roman" w:hAnsi="Times New Roman"/>
                          <w:sz w:val="20"/>
                          <w:szCs w:val="20"/>
                        </w:rPr>
                        <w:t xml:space="preserve">(převzato: </w:t>
                      </w:r>
                    </w:p>
                    <w:p w:rsidR="001F4DC5" w:rsidRPr="00AB6DDA" w:rsidRDefault="001F4DC5" w:rsidP="0016254A">
                      <w:pPr>
                        <w:rPr>
                          <w:rFonts w:ascii="Times New Roman" w:hAnsi="Times New Roman"/>
                          <w:sz w:val="24"/>
                          <w:szCs w:val="24"/>
                        </w:rPr>
                      </w:pPr>
                      <w:r>
                        <w:rPr>
                          <w:rFonts w:ascii="Times New Roman" w:hAnsi="Times New Roman"/>
                          <w:sz w:val="20"/>
                          <w:szCs w:val="20"/>
                          <w:shd w:val="clear" w:color="auto" w:fill="FFFFFF"/>
                        </w:rPr>
                        <w:t>The Seattle Times</w:t>
                      </w:r>
                      <w:r w:rsidRPr="00AB6DDA">
                        <w:rPr>
                          <w:rFonts w:ascii="Times New Roman" w:hAnsi="Times New Roman"/>
                          <w:sz w:val="20"/>
                          <w:szCs w:val="20"/>
                          <w:shd w:val="clear" w:color="auto" w:fill="FFFFFF"/>
                        </w:rPr>
                        <w:t>, 1999)</w:t>
                      </w:r>
                    </w:p>
                  </w:txbxContent>
                </v:textbox>
                <w10:wrap type="square"/>
              </v:shape>
            </w:pict>
          </mc:Fallback>
        </mc:AlternateContent>
      </w:r>
      <w:r w:rsidRPr="00BD5F0C">
        <w:t>Hlavní protestní akce zasáhly Seattle 30. listopadu 1999</w:t>
      </w:r>
      <w:r w:rsidRPr="00F1337F">
        <w:footnoteReference w:id="51"/>
      </w:r>
      <w:r w:rsidRPr="00BD5F0C">
        <w:t xml:space="preserve">. Na úsvitu toho dne okolo 2000 </w:t>
      </w:r>
      <w:r>
        <w:t>aktivně zapojených</w:t>
      </w:r>
      <w:r w:rsidRPr="00BD5F0C">
        <w:t xml:space="preserve"> demonstrantů vyrazilo do ulic Seattlu s cílem uzavřít jednání WTO. Tito aktivisté byli trénováni a koordinováni prostřednictví Direct Action Network</w:t>
      </w:r>
      <w:r w:rsidRPr="00F1337F">
        <w:footnoteReference w:id="52"/>
      </w:r>
      <w:r w:rsidRPr="00BD5F0C">
        <w:t>, kterou tvořila koalice komunitních organizátorů a mezinárodních sponzorů usilujících o vyvolání přímé akce. Počet demonstrantů od rána průběžně rostl. Části aktivistů se podařilo zablokovat hlavní přístupové křižovatky vedoucí ke kongresovému centru, kam se měli sjíždět delegáti jednotlivých zemí. Mezi 9 a 10 hodinou se část demonstrantů shromáždila před hotelem Sheraton, kde byli delegáti ubytováni</w:t>
      </w:r>
      <w:r w:rsidRPr="00F1337F">
        <w:footnoteReference w:id="53"/>
      </w:r>
      <w:r w:rsidRPr="00BD5F0C">
        <w:t>. Cíl byl jasný – zabránit jim v opuštění hotelu. (GILLHAM</w:t>
      </w:r>
      <w:r>
        <w:t xml:space="preserve"> </w:t>
      </w:r>
      <w:r w:rsidRPr="00BD5F0C">
        <w:t>– MARX, 2003; MCNALLY, 2006)</w:t>
      </w:r>
    </w:p>
    <w:p w:rsidR="0016254A" w:rsidRPr="00BD5F0C" w:rsidRDefault="0016254A" w:rsidP="00F1337F">
      <w:pPr>
        <w:pStyle w:val="Normlnweb"/>
        <w:widowControl w:val="0"/>
        <w:spacing w:before="0" w:beforeAutospacing="0" w:after="0" w:afterAutospacing="0" w:line="276" w:lineRule="auto"/>
        <w:ind w:firstLine="709"/>
        <w:jc w:val="both"/>
      </w:pPr>
      <w:r>
        <w:rPr>
          <w:noProof/>
        </w:rPr>
        <mc:AlternateContent>
          <mc:Choice Requires="wps">
            <w:drawing>
              <wp:anchor distT="0" distB="0" distL="114300" distR="114300" simplePos="0" relativeHeight="251661312" behindDoc="0" locked="0" layoutInCell="1" allowOverlap="1" wp14:anchorId="0F1F24AE" wp14:editId="38CEE614">
                <wp:simplePos x="0" y="0"/>
                <wp:positionH relativeFrom="column">
                  <wp:posOffset>3451225</wp:posOffset>
                </wp:positionH>
                <wp:positionV relativeFrom="paragraph">
                  <wp:posOffset>834390</wp:posOffset>
                </wp:positionV>
                <wp:extent cx="2279015" cy="2039620"/>
                <wp:effectExtent l="10795" t="6350" r="5715" b="11430"/>
                <wp:wrapSquare wrapText="bothSides"/>
                <wp:docPr id="32" name="Textové pole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015" cy="2039620"/>
                        </a:xfrm>
                        <a:prstGeom prst="rect">
                          <a:avLst/>
                        </a:prstGeom>
                        <a:solidFill>
                          <a:srgbClr val="FFFFFF"/>
                        </a:solidFill>
                        <a:ln w="9525">
                          <a:solidFill>
                            <a:srgbClr val="000000"/>
                          </a:solidFill>
                          <a:miter lim="800000"/>
                          <a:headEnd/>
                          <a:tailEnd/>
                        </a:ln>
                      </wps:spPr>
                      <wps:txbx>
                        <w:txbxContent>
                          <w:p w:rsidR="001F4DC5" w:rsidRDefault="001F4DC5" w:rsidP="0016254A">
                            <w:r>
                              <w:rPr>
                                <w:noProof/>
                                <w:lang w:eastAsia="cs-CZ"/>
                              </w:rPr>
                              <w:drawing>
                                <wp:inline distT="0" distB="0" distL="0" distR="0" wp14:anchorId="364F0400" wp14:editId="10593EDB">
                                  <wp:extent cx="2169160" cy="1445895"/>
                                  <wp:effectExtent l="0" t="0" r="2540" b="1905"/>
                                  <wp:docPr id="60" name="Obrázek 60" descr="200347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0347235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69160" cy="1445895"/>
                                          </a:xfrm>
                                          <a:prstGeom prst="rect">
                                            <a:avLst/>
                                          </a:prstGeom>
                                          <a:noFill/>
                                          <a:ln>
                                            <a:noFill/>
                                          </a:ln>
                                        </pic:spPr>
                                      </pic:pic>
                                    </a:graphicData>
                                  </a:graphic>
                                </wp:inline>
                              </w:drawing>
                            </w:r>
                          </w:p>
                          <w:p w:rsidR="001F4DC5" w:rsidRDefault="001F4DC5" w:rsidP="0016254A">
                            <w:pPr>
                              <w:rPr>
                                <w:rFonts w:ascii="Times New Roman" w:hAnsi="Times New Roman"/>
                                <w:b/>
                                <w:sz w:val="24"/>
                                <w:szCs w:val="24"/>
                              </w:rPr>
                            </w:pPr>
                            <w:r w:rsidRPr="001A42B6">
                              <w:rPr>
                                <w:rFonts w:ascii="Times New Roman" w:hAnsi="Times New Roman"/>
                                <w:sz w:val="24"/>
                                <w:szCs w:val="24"/>
                              </w:rPr>
                              <w:t>Obr.</w:t>
                            </w:r>
                            <w:r>
                              <w:rPr>
                                <w:rFonts w:ascii="Times New Roman" w:hAnsi="Times New Roman"/>
                                <w:sz w:val="24"/>
                                <w:szCs w:val="24"/>
                              </w:rPr>
                              <w:t xml:space="preserve"> 4</w:t>
                            </w:r>
                            <w:r w:rsidRPr="001A42B6">
                              <w:rPr>
                                <w:rFonts w:ascii="Times New Roman" w:hAnsi="Times New Roman"/>
                                <w:sz w:val="24"/>
                                <w:szCs w:val="24"/>
                              </w:rPr>
                              <w:t xml:space="preserve">. </w:t>
                            </w:r>
                            <w:r w:rsidRPr="001A42B6">
                              <w:rPr>
                                <w:rFonts w:ascii="Times New Roman" w:hAnsi="Times New Roman"/>
                                <w:b/>
                                <w:sz w:val="24"/>
                                <w:szCs w:val="24"/>
                              </w:rPr>
                              <w:t xml:space="preserve">Demonstranti rozbíjející </w:t>
                            </w:r>
                          </w:p>
                          <w:p w:rsidR="001F4DC5" w:rsidRPr="00AB6DDA" w:rsidRDefault="001F4DC5" w:rsidP="0016254A">
                            <w:pPr>
                              <w:rPr>
                                <w:rFonts w:ascii="Times New Roman" w:hAnsi="Times New Roman"/>
                                <w:sz w:val="20"/>
                                <w:szCs w:val="20"/>
                                <w:shd w:val="clear" w:color="auto" w:fill="FFFFFF"/>
                              </w:rPr>
                            </w:pPr>
                            <w:r>
                              <w:rPr>
                                <w:rFonts w:ascii="Times New Roman" w:hAnsi="Times New Roman"/>
                                <w:b/>
                                <w:sz w:val="24"/>
                                <w:szCs w:val="24"/>
                              </w:rPr>
                              <w:t>v</w:t>
                            </w:r>
                            <w:r w:rsidRPr="001A42B6">
                              <w:rPr>
                                <w:rFonts w:ascii="Times New Roman" w:hAnsi="Times New Roman"/>
                                <w:b/>
                                <w:sz w:val="24"/>
                                <w:szCs w:val="24"/>
                              </w:rPr>
                              <w:t>ýlohy</w:t>
                            </w:r>
                            <w:r>
                              <w:rPr>
                                <w:rFonts w:ascii="Times New Roman" w:hAnsi="Times New Roman"/>
                                <w:b/>
                                <w:sz w:val="24"/>
                                <w:szCs w:val="24"/>
                              </w:rPr>
                              <w:t xml:space="preserve"> </w:t>
                            </w:r>
                            <w:r w:rsidRPr="001A42B6">
                              <w:rPr>
                                <w:rFonts w:ascii="Times New Roman" w:hAnsi="Times New Roman"/>
                                <w:sz w:val="20"/>
                                <w:szCs w:val="20"/>
                              </w:rPr>
                              <w:t>(převzato:</w:t>
                            </w:r>
                            <w:r w:rsidRPr="0086588F">
                              <w:rPr>
                                <w:rFonts w:ascii="Times New Roman" w:hAnsi="Times New Roman"/>
                                <w:sz w:val="20"/>
                                <w:szCs w:val="20"/>
                                <w:shd w:val="clear" w:color="auto" w:fill="FFFFFF"/>
                              </w:rPr>
                              <w:t xml:space="preserve"> </w:t>
                            </w:r>
                            <w:r>
                              <w:rPr>
                                <w:rFonts w:ascii="Times New Roman" w:hAnsi="Times New Roman"/>
                                <w:sz w:val="20"/>
                                <w:szCs w:val="20"/>
                                <w:shd w:val="clear" w:color="auto" w:fill="FFFFFF"/>
                              </w:rPr>
                              <w:t xml:space="preserve">The Seattle Times, </w:t>
                            </w:r>
                            <w:r w:rsidRPr="001A42B6">
                              <w:rPr>
                                <w:rFonts w:ascii="Times New Roman" w:hAnsi="Times New Roman"/>
                                <w:sz w:val="20"/>
                                <w:szCs w:val="20"/>
                                <w:shd w:val="clear" w:color="auto" w:fill="FFFFFF"/>
                              </w:rPr>
                              <w:t>1999)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ové pole 32" o:spid="_x0000_s1029" type="#_x0000_t202" style="position:absolute;left:0;text-align:left;margin-left:271.75pt;margin-top:65.7pt;width:179.45pt;height:160.6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">
                <v:textbox style="mso-fit-shape-to-text:t">
                  <w:txbxContent>
                    <w:p w:rsidR="001F4DC5" w:rsidRDefault="001F4DC5" w:rsidP="0016254A">
                      <w:r>
                        <w:rPr>
                          <w:noProof/>
                          <w:lang w:eastAsia="cs-CZ"/>
                        </w:rPr>
                        <w:drawing>
                          <wp:inline distT="0" distB="0" distL="0" distR="0" wp14:anchorId="3F5F7E77" wp14:editId="4D837478">
                            <wp:extent cx="2169160" cy="1445895"/>
                            <wp:effectExtent l="0" t="0" r="2540" b="1905"/>
                            <wp:docPr id="60" name="Obrázek 60" descr="200347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0347235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69160" cy="1445895"/>
                                    </a:xfrm>
                                    <a:prstGeom prst="rect">
                                      <a:avLst/>
                                    </a:prstGeom>
                                    <a:noFill/>
                                    <a:ln>
                                      <a:noFill/>
                                    </a:ln>
                                  </pic:spPr>
                                </pic:pic>
                              </a:graphicData>
                            </a:graphic>
                          </wp:inline>
                        </w:drawing>
                      </w:r>
                    </w:p>
                    <w:p w:rsidR="001F4DC5" w:rsidRDefault="001F4DC5" w:rsidP="0016254A">
                      <w:pPr>
                        <w:rPr>
                          <w:rFonts w:ascii="Times New Roman" w:hAnsi="Times New Roman"/>
                          <w:b/>
                          <w:sz w:val="24"/>
                          <w:szCs w:val="24"/>
                        </w:rPr>
                      </w:pPr>
                      <w:r w:rsidRPr="001A42B6">
                        <w:rPr>
                          <w:rFonts w:ascii="Times New Roman" w:hAnsi="Times New Roman"/>
                          <w:sz w:val="24"/>
                          <w:szCs w:val="24"/>
                        </w:rPr>
                        <w:t>Obr.</w:t>
                      </w:r>
                      <w:r>
                        <w:rPr>
                          <w:rFonts w:ascii="Times New Roman" w:hAnsi="Times New Roman"/>
                          <w:sz w:val="24"/>
                          <w:szCs w:val="24"/>
                        </w:rPr>
                        <w:t xml:space="preserve"> 4</w:t>
                      </w:r>
                      <w:r w:rsidRPr="001A42B6">
                        <w:rPr>
                          <w:rFonts w:ascii="Times New Roman" w:hAnsi="Times New Roman"/>
                          <w:sz w:val="24"/>
                          <w:szCs w:val="24"/>
                        </w:rPr>
                        <w:t xml:space="preserve">. </w:t>
                      </w:r>
                      <w:r w:rsidRPr="001A42B6">
                        <w:rPr>
                          <w:rFonts w:ascii="Times New Roman" w:hAnsi="Times New Roman"/>
                          <w:b/>
                          <w:sz w:val="24"/>
                          <w:szCs w:val="24"/>
                        </w:rPr>
                        <w:t xml:space="preserve">Demonstranti rozbíjející </w:t>
                      </w:r>
                    </w:p>
                    <w:p w:rsidR="001F4DC5" w:rsidRPr="00AB6DDA" w:rsidRDefault="001F4DC5" w:rsidP="0016254A">
                      <w:pPr>
                        <w:rPr>
                          <w:rFonts w:ascii="Times New Roman" w:hAnsi="Times New Roman"/>
                          <w:sz w:val="20"/>
                          <w:szCs w:val="20"/>
                          <w:shd w:val="clear" w:color="auto" w:fill="FFFFFF"/>
                        </w:rPr>
                      </w:pPr>
                      <w:r>
                        <w:rPr>
                          <w:rFonts w:ascii="Times New Roman" w:hAnsi="Times New Roman"/>
                          <w:b/>
                          <w:sz w:val="24"/>
                          <w:szCs w:val="24"/>
                        </w:rPr>
                        <w:t>v</w:t>
                      </w:r>
                      <w:r w:rsidRPr="001A42B6">
                        <w:rPr>
                          <w:rFonts w:ascii="Times New Roman" w:hAnsi="Times New Roman"/>
                          <w:b/>
                          <w:sz w:val="24"/>
                          <w:szCs w:val="24"/>
                        </w:rPr>
                        <w:t>ýlohy</w:t>
                      </w:r>
                      <w:r>
                        <w:rPr>
                          <w:rFonts w:ascii="Times New Roman" w:hAnsi="Times New Roman"/>
                          <w:b/>
                          <w:sz w:val="24"/>
                          <w:szCs w:val="24"/>
                        </w:rPr>
                        <w:t xml:space="preserve"> </w:t>
                      </w:r>
                      <w:r w:rsidRPr="001A42B6">
                        <w:rPr>
                          <w:rFonts w:ascii="Times New Roman" w:hAnsi="Times New Roman"/>
                          <w:sz w:val="20"/>
                          <w:szCs w:val="20"/>
                        </w:rPr>
                        <w:t>(převzato:</w:t>
                      </w:r>
                      <w:r w:rsidRPr="0086588F">
                        <w:rPr>
                          <w:rFonts w:ascii="Times New Roman" w:hAnsi="Times New Roman"/>
                          <w:sz w:val="20"/>
                          <w:szCs w:val="20"/>
                          <w:shd w:val="clear" w:color="auto" w:fill="FFFFFF"/>
                        </w:rPr>
                        <w:t xml:space="preserve"> </w:t>
                      </w:r>
                      <w:r>
                        <w:rPr>
                          <w:rFonts w:ascii="Times New Roman" w:hAnsi="Times New Roman"/>
                          <w:sz w:val="20"/>
                          <w:szCs w:val="20"/>
                          <w:shd w:val="clear" w:color="auto" w:fill="FFFFFF"/>
                        </w:rPr>
                        <w:t xml:space="preserve">The Seattle Times, </w:t>
                      </w:r>
                      <w:r w:rsidRPr="001A42B6">
                        <w:rPr>
                          <w:rFonts w:ascii="Times New Roman" w:hAnsi="Times New Roman"/>
                          <w:sz w:val="20"/>
                          <w:szCs w:val="20"/>
                          <w:shd w:val="clear" w:color="auto" w:fill="FFFFFF"/>
                        </w:rPr>
                        <w:t>1999)</w:t>
                      </w:r>
                    </w:p>
                  </w:txbxContent>
                </v:textbox>
                <w10:wrap type="square"/>
              </v:shape>
            </w:pict>
          </mc:Fallback>
        </mc:AlternateContent>
      </w:r>
      <w:r w:rsidRPr="00BD5F0C">
        <w:t>V 10 hodin obrnění a zaskočení policisté zahájili ve snaze „vyčistit“ delegátům cestu ke konvenčnímu centru první výpad proti demonstrantům za pomoci slzného plnu, gumových projektilů a obušků</w:t>
      </w:r>
      <w:r>
        <w:t xml:space="preserve"> (viz obr. 3)</w:t>
      </w:r>
      <w:r w:rsidRPr="00BD5F0C">
        <w:t>. Tato taktika se ukázala jako neefektivní, jelikož o další 4 hodiny později byli delegáti stále uvězněni v hotelu. Ani v ostatních částech Seattlu se policistům nepodařilo touto taktikou vytlačit dav dále než pár bloků od původního stanoviště.  S tím, jak se po celém městě stupňovaly konfrontace, úměrně narůstalo užití síly policejními složkami. Kolem 11 hodiny začaly malé skupinky aktivistů rozbíjet skla výloh ochodů nadnárodních korporací</w:t>
      </w:r>
      <w:r>
        <w:t xml:space="preserve"> (viz obr 4)</w:t>
      </w:r>
      <w:r w:rsidRPr="00BD5F0C">
        <w:t>, což se setkalo s nesouhlasem i části demonstrantů. Policie tomuto výbuchu vandalismu většinou pouze přihlížela. Policejní složky odhadly, že kolem poledne zaplnilo oblast patnácti bloků přiléhajících ke kongresovému centru 25000 až 50000 demonstrantů, dele</w:t>
      </w:r>
      <w:r>
        <w:t xml:space="preserve">gátů a přihlížejících. (GILLHAM </w:t>
      </w:r>
      <w:r w:rsidRPr="00BD5F0C">
        <w:t xml:space="preserve">– MARX, 2003; </w:t>
      </w:r>
      <w:r w:rsidRPr="00BD5F0C">
        <w:lastRenderedPageBreak/>
        <w:t>MCNALLY</w:t>
      </w:r>
      <w:r>
        <w:t>,</w:t>
      </w:r>
      <w:r w:rsidRPr="00BD5F0C">
        <w:t xml:space="preserve"> 2006)</w:t>
      </w:r>
    </w:p>
    <w:p w:rsidR="0016254A" w:rsidRDefault="0016254A" w:rsidP="00F1337F">
      <w:pPr>
        <w:pStyle w:val="Normlnweb"/>
        <w:widowControl w:val="0"/>
        <w:spacing w:before="0" w:beforeAutospacing="0" w:after="0" w:afterAutospacing="0" w:line="276" w:lineRule="auto"/>
        <w:ind w:firstLine="709"/>
        <w:jc w:val="both"/>
      </w:pPr>
      <w:r>
        <w:rPr>
          <w:noProof/>
        </w:rPr>
        <mc:AlternateContent>
          <mc:Choice Requires="wps">
            <w:drawing>
              <wp:anchor distT="0" distB="0" distL="114300" distR="114300" simplePos="0" relativeHeight="251663360" behindDoc="0" locked="0" layoutInCell="1" allowOverlap="1" wp14:anchorId="745D4FF3" wp14:editId="3AD11071">
                <wp:simplePos x="0" y="0"/>
                <wp:positionH relativeFrom="column">
                  <wp:posOffset>-19050</wp:posOffset>
                </wp:positionH>
                <wp:positionV relativeFrom="paragraph">
                  <wp:posOffset>1631315</wp:posOffset>
                </wp:positionV>
                <wp:extent cx="3058795" cy="2397125"/>
                <wp:effectExtent l="13970" t="13335" r="13335" b="8890"/>
                <wp:wrapSquare wrapText="bothSides"/>
                <wp:docPr id="31" name="Textové pol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8795" cy="2397125"/>
                        </a:xfrm>
                        <a:prstGeom prst="rect">
                          <a:avLst/>
                        </a:prstGeom>
                        <a:solidFill>
                          <a:srgbClr val="FFFFFF"/>
                        </a:solidFill>
                        <a:ln w="9525">
                          <a:solidFill>
                            <a:srgbClr val="000000"/>
                          </a:solidFill>
                          <a:miter lim="800000"/>
                          <a:headEnd/>
                          <a:tailEnd/>
                        </a:ln>
                      </wps:spPr>
                      <wps:txbx>
                        <w:txbxContent>
                          <w:p w:rsidR="001F4DC5" w:rsidRDefault="001F4DC5" w:rsidP="0016254A">
                            <w:r>
                              <w:rPr>
                                <w:noProof/>
                                <w:lang w:eastAsia="cs-CZ"/>
                              </w:rPr>
                              <w:drawing>
                                <wp:inline distT="0" distB="0" distL="0" distR="0" wp14:anchorId="70473359" wp14:editId="7689D06B">
                                  <wp:extent cx="2849245" cy="1797050"/>
                                  <wp:effectExtent l="0" t="0" r="8255" b="0"/>
                                  <wp:docPr id="61" name="Obrázek 61" descr="200347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0347243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49245" cy="1797050"/>
                                          </a:xfrm>
                                          <a:prstGeom prst="rect">
                                            <a:avLst/>
                                          </a:prstGeom>
                                          <a:noFill/>
                                          <a:ln>
                                            <a:noFill/>
                                          </a:ln>
                                        </pic:spPr>
                                      </pic:pic>
                                    </a:graphicData>
                                  </a:graphic>
                                </wp:inline>
                              </w:drawing>
                            </w:r>
                          </w:p>
                          <w:p w:rsidR="001F4DC5" w:rsidRDefault="001F4DC5" w:rsidP="0016254A">
                            <w:pPr>
                              <w:rPr>
                                <w:rFonts w:ascii="Times New Roman" w:hAnsi="Times New Roman"/>
                                <w:b/>
                                <w:sz w:val="24"/>
                                <w:szCs w:val="24"/>
                              </w:rPr>
                            </w:pPr>
                            <w:r w:rsidRPr="00B37FFA">
                              <w:rPr>
                                <w:rFonts w:ascii="Times New Roman" w:hAnsi="Times New Roman"/>
                                <w:sz w:val="24"/>
                                <w:szCs w:val="24"/>
                              </w:rPr>
                              <w:t xml:space="preserve">Obr. 5. </w:t>
                            </w:r>
                            <w:r w:rsidRPr="00B37FFA">
                              <w:rPr>
                                <w:rFonts w:ascii="Times New Roman" w:hAnsi="Times New Roman"/>
                                <w:b/>
                                <w:sz w:val="24"/>
                                <w:szCs w:val="24"/>
                              </w:rPr>
                              <w:t xml:space="preserve">Zatčení demonstranti v průběhu </w:t>
                            </w:r>
                          </w:p>
                          <w:p w:rsidR="001F4DC5" w:rsidRDefault="001F4DC5" w:rsidP="0016254A">
                            <w:pPr>
                              <w:rPr>
                                <w:rFonts w:ascii="Times New Roman" w:hAnsi="Times New Roman"/>
                                <w:sz w:val="20"/>
                                <w:szCs w:val="20"/>
                                <w:shd w:val="clear" w:color="auto" w:fill="FFFFFF"/>
                              </w:rPr>
                            </w:pPr>
                            <w:r w:rsidRPr="00B37FFA">
                              <w:rPr>
                                <w:rFonts w:ascii="Times New Roman" w:hAnsi="Times New Roman"/>
                                <w:b/>
                                <w:sz w:val="24"/>
                                <w:szCs w:val="24"/>
                              </w:rPr>
                              <w:t>pouličních nepokojů</w:t>
                            </w:r>
                            <w:r>
                              <w:rPr>
                                <w:rFonts w:ascii="Times New Roman" w:hAnsi="Times New Roman"/>
                                <w:b/>
                                <w:sz w:val="24"/>
                                <w:szCs w:val="24"/>
                              </w:rPr>
                              <w:t xml:space="preserve"> </w:t>
                            </w:r>
                            <w:r w:rsidRPr="001A42B6">
                              <w:rPr>
                                <w:rFonts w:ascii="Times New Roman" w:hAnsi="Times New Roman"/>
                                <w:sz w:val="20"/>
                                <w:szCs w:val="20"/>
                              </w:rPr>
                              <w:t xml:space="preserve">(převzato: </w:t>
                            </w:r>
                            <w:r>
                              <w:rPr>
                                <w:rFonts w:ascii="Times New Roman" w:hAnsi="Times New Roman"/>
                                <w:sz w:val="20"/>
                                <w:szCs w:val="20"/>
                                <w:shd w:val="clear" w:color="auto" w:fill="FFFFFF"/>
                              </w:rPr>
                              <w:t>The Seattle Times</w:t>
                            </w:r>
                            <w:r w:rsidRPr="001A42B6">
                              <w:rPr>
                                <w:rFonts w:ascii="Times New Roman" w:hAnsi="Times New Roman"/>
                                <w:sz w:val="20"/>
                                <w:szCs w:val="20"/>
                                <w:shd w:val="clear" w:color="auto" w:fill="FFFFFF"/>
                              </w:rPr>
                              <w:t>,</w:t>
                            </w:r>
                          </w:p>
                          <w:p w:rsidR="001F4DC5" w:rsidRPr="00B37FFA" w:rsidRDefault="001F4DC5" w:rsidP="0016254A">
                            <w:pPr>
                              <w:rPr>
                                <w:rFonts w:ascii="Times New Roman" w:hAnsi="Times New Roman"/>
                                <w:sz w:val="24"/>
                                <w:szCs w:val="24"/>
                              </w:rPr>
                            </w:pPr>
                            <w:r w:rsidRPr="001A42B6">
                              <w:rPr>
                                <w:rFonts w:ascii="Times New Roman" w:hAnsi="Times New Roman"/>
                                <w:sz w:val="20"/>
                                <w:szCs w:val="20"/>
                                <w:shd w:val="clear" w:color="auto" w:fill="FFFFFF"/>
                              </w:rPr>
                              <w:t xml:space="preserve"> 1999)</w:t>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ové pole 31" o:spid="_x0000_s1030" type="#_x0000_t202" style="position:absolute;left:0;text-align:left;margin-left:-1.5pt;margin-top:128.45pt;width:240.85pt;height:188.75pt;z-index:251663360;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">
                <v:textbox style="mso-fit-shape-to-text:t">
                  <w:txbxContent>
                    <w:p w:rsidR="001F4DC5" w:rsidRDefault="001F4DC5" w:rsidP="0016254A">
                      <w:r>
                        <w:rPr>
                          <w:noProof/>
                          <w:lang w:eastAsia="cs-CZ"/>
                        </w:rPr>
                        <w:drawing>
                          <wp:inline distT="0" distB="0" distL="0" distR="0" wp14:anchorId="5E7C15C4" wp14:editId="595BEE7F">
                            <wp:extent cx="2849245" cy="1797050"/>
                            <wp:effectExtent l="0" t="0" r="8255" b="0"/>
                            <wp:docPr id="61" name="Obrázek 61" descr="200347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034724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49245" cy="1797050"/>
                                    </a:xfrm>
                                    <a:prstGeom prst="rect">
                                      <a:avLst/>
                                    </a:prstGeom>
                                    <a:noFill/>
                                    <a:ln>
                                      <a:noFill/>
                                    </a:ln>
                                  </pic:spPr>
                                </pic:pic>
                              </a:graphicData>
                            </a:graphic>
                          </wp:inline>
                        </w:drawing>
                      </w:r>
                    </w:p>
                    <w:p w:rsidR="001F4DC5" w:rsidRDefault="001F4DC5" w:rsidP="0016254A">
                      <w:pPr>
                        <w:rPr>
                          <w:rFonts w:ascii="Times New Roman" w:hAnsi="Times New Roman"/>
                          <w:b/>
                          <w:sz w:val="24"/>
                          <w:szCs w:val="24"/>
                        </w:rPr>
                      </w:pPr>
                      <w:r w:rsidRPr="00B37FFA">
                        <w:rPr>
                          <w:rFonts w:ascii="Times New Roman" w:hAnsi="Times New Roman"/>
                          <w:sz w:val="24"/>
                          <w:szCs w:val="24"/>
                        </w:rPr>
                        <w:t xml:space="preserve">Obr. 5. </w:t>
                      </w:r>
                      <w:r w:rsidRPr="00B37FFA">
                        <w:rPr>
                          <w:rFonts w:ascii="Times New Roman" w:hAnsi="Times New Roman"/>
                          <w:b/>
                          <w:sz w:val="24"/>
                          <w:szCs w:val="24"/>
                        </w:rPr>
                        <w:t xml:space="preserve">Zatčení demonstranti v průběhu </w:t>
                      </w:r>
                    </w:p>
                    <w:p w:rsidR="001F4DC5" w:rsidRDefault="001F4DC5" w:rsidP="0016254A">
                      <w:pPr>
                        <w:rPr>
                          <w:rFonts w:ascii="Times New Roman" w:hAnsi="Times New Roman"/>
                          <w:sz w:val="20"/>
                          <w:szCs w:val="20"/>
                          <w:shd w:val="clear" w:color="auto" w:fill="FFFFFF"/>
                        </w:rPr>
                      </w:pPr>
                      <w:r w:rsidRPr="00B37FFA">
                        <w:rPr>
                          <w:rFonts w:ascii="Times New Roman" w:hAnsi="Times New Roman"/>
                          <w:b/>
                          <w:sz w:val="24"/>
                          <w:szCs w:val="24"/>
                        </w:rPr>
                        <w:t>pouličních nepokojů</w:t>
                      </w:r>
                      <w:r>
                        <w:rPr>
                          <w:rFonts w:ascii="Times New Roman" w:hAnsi="Times New Roman"/>
                          <w:b/>
                          <w:sz w:val="24"/>
                          <w:szCs w:val="24"/>
                        </w:rPr>
                        <w:t xml:space="preserve"> </w:t>
                      </w:r>
                      <w:r w:rsidRPr="001A42B6">
                        <w:rPr>
                          <w:rFonts w:ascii="Times New Roman" w:hAnsi="Times New Roman"/>
                          <w:sz w:val="20"/>
                          <w:szCs w:val="20"/>
                        </w:rPr>
                        <w:t xml:space="preserve">(převzato: </w:t>
                      </w:r>
                      <w:r>
                        <w:rPr>
                          <w:rFonts w:ascii="Times New Roman" w:hAnsi="Times New Roman"/>
                          <w:sz w:val="20"/>
                          <w:szCs w:val="20"/>
                          <w:shd w:val="clear" w:color="auto" w:fill="FFFFFF"/>
                        </w:rPr>
                        <w:t>The Seattle Times</w:t>
                      </w:r>
                      <w:r w:rsidRPr="001A42B6">
                        <w:rPr>
                          <w:rFonts w:ascii="Times New Roman" w:hAnsi="Times New Roman"/>
                          <w:sz w:val="20"/>
                          <w:szCs w:val="20"/>
                          <w:shd w:val="clear" w:color="auto" w:fill="FFFFFF"/>
                        </w:rPr>
                        <w:t>,</w:t>
                      </w:r>
                    </w:p>
                    <w:p w:rsidR="001F4DC5" w:rsidRPr="00B37FFA" w:rsidRDefault="001F4DC5" w:rsidP="0016254A">
                      <w:pPr>
                        <w:rPr>
                          <w:rFonts w:ascii="Times New Roman" w:hAnsi="Times New Roman"/>
                          <w:sz w:val="24"/>
                          <w:szCs w:val="24"/>
                        </w:rPr>
                      </w:pPr>
                      <w:r w:rsidRPr="001A42B6">
                        <w:rPr>
                          <w:rFonts w:ascii="Times New Roman" w:hAnsi="Times New Roman"/>
                          <w:sz w:val="20"/>
                          <w:szCs w:val="20"/>
                          <w:shd w:val="clear" w:color="auto" w:fill="FFFFFF"/>
                        </w:rPr>
                        <w:t xml:space="preserve"> 1999)</w:t>
                      </w:r>
                    </w:p>
                  </w:txbxContent>
                </v:textbox>
                <w10:wrap type="square"/>
              </v:shape>
            </w:pict>
          </mc:Fallback>
        </mc:AlternateContent>
      </w:r>
      <w:r w:rsidRPr="00BD5F0C">
        <w:t>Během vyhrocené dopolední situace museli vedoucí představitelé Seattlu rozhodnout nejen jak zajistit delegátům bezpečný přístup do kongresového centra, ale i co budou dělat s přibližně 20000 až 50000 dalšími demonstranty účastnícími se protestního pochodu pořádaného AFL-CIO, kteří měli projít centrem kolem poledne</w:t>
      </w:r>
      <w:r w:rsidRPr="00F1337F">
        <w:footnoteReference w:id="54"/>
      </w:r>
      <w:r w:rsidRPr="00BD5F0C">
        <w:t>. V reakci na probíhající protesty, požadavky Bílého domu na vyčištění ulic a na hrozbu krachu ministerského jednání WTO se o půl čtvrté rozhodl starosta Seattlu Paul Schell vyhlásit nouzový stav. V 50 blocích v centru platil od 19:30 do 7:30 následujícího dne zákaz vycházení. Během několika hodin po vyhlášení nouzového stavu se policii podařilo vytlačit demonstranty a přihlížející z centra města, přesto jich tam pár stovek zůstalo přes noc. Konečný součet zatčených činil 3</w:t>
      </w:r>
      <w:r>
        <w:t xml:space="preserve">0. listopadu 500 osob (viz obr 5). (GILLHAM </w:t>
      </w:r>
      <w:r w:rsidRPr="00BD5F0C">
        <w:t xml:space="preserve">– MARX, 2003)  </w:t>
      </w:r>
    </w:p>
    <w:p w:rsidR="0016254A" w:rsidRDefault="0016254A" w:rsidP="0016254A">
      <w:pPr>
        <w:spacing w:line="360" w:lineRule="auto"/>
        <w:ind w:firstLine="708"/>
        <w:jc w:val="both"/>
        <w:rPr>
          <w:rFonts w:ascii="Times New Roman" w:hAnsi="Times New Roman"/>
          <w:sz w:val="24"/>
          <w:szCs w:val="24"/>
        </w:rPr>
      </w:pPr>
    </w:p>
    <w:p w:rsidR="0016254A" w:rsidRPr="003264DF" w:rsidRDefault="0016254A" w:rsidP="003264DF">
      <w:pPr>
        <w:pStyle w:val="Nadpis4"/>
        <w:numPr>
          <w:ilvl w:val="0"/>
          <w:numId w:val="0"/>
        </w:numPr>
        <w:ind w:left="864"/>
        <w:rPr>
          <w:rFonts w:eastAsiaTheme="minorHAnsi"/>
          <w:bCs w:val="0"/>
          <w:sz w:val="24"/>
          <w:szCs w:val="24"/>
          <w:lang w:eastAsia="en-US"/>
        </w:rPr>
      </w:pPr>
      <w:r w:rsidRPr="003264DF">
        <w:rPr>
          <w:rFonts w:eastAsiaTheme="minorHAnsi"/>
          <w:bCs w:val="0"/>
          <w:sz w:val="24"/>
          <w:szCs w:val="24"/>
          <w:lang w:eastAsia="en-US"/>
        </w:rPr>
        <w:t xml:space="preserve">Průběh jednání WTO   </w:t>
      </w:r>
    </w:p>
    <w:p w:rsidR="0016254A" w:rsidRPr="00F1337F" w:rsidRDefault="0016254A" w:rsidP="00F1337F">
      <w:pPr>
        <w:pStyle w:val="Normlnweb"/>
        <w:widowControl w:val="0"/>
        <w:spacing w:before="0" w:beforeAutospacing="0" w:after="0" w:afterAutospacing="0" w:line="276" w:lineRule="auto"/>
        <w:ind w:firstLine="709"/>
        <w:jc w:val="both"/>
      </w:pPr>
      <w:r>
        <w:t xml:space="preserve"> </w:t>
      </w:r>
      <w:r w:rsidRPr="00BD5F0C">
        <w:t>Oficiální jednání delegátů WTO v kongresovém centru poměrně brzy uvázlo na mrtvém bodě. Důvodem byl rozpor mezi Spojenými státy a Evropou a Japonskem ohledně protekcionismu v oblasti zemědělství, opatření proti dumpingu</w:t>
      </w:r>
      <w:r w:rsidRPr="00F1337F">
        <w:footnoteReference w:id="55"/>
      </w:r>
      <w:r w:rsidRPr="00BD5F0C">
        <w:t xml:space="preserve"> a také frustrace zástupců rozvojových zemí z příliš výrazné dominance Spojených států a ostatních vyspělých zemí nad agendou WTO.</w:t>
      </w:r>
      <w:r w:rsidRPr="00F1337F">
        <w:t xml:space="preserve"> </w:t>
      </w:r>
      <w:r>
        <w:t>Pravděpodobně nejkontroverznější návrh předložila Clintonova administrativa, která měla v plánu zavést do agendy WTO pracovní standardy. Tato vize byla v rozporu s tím, na čem se dohodli delegáti na první konferenci WTO v Singapuru v roce 1996, kde bylo rozhodnuto o tom, že otázky týkající se pracovníků budou mimo rámec WTO. Návrh pracovních standardů se setkal s důrazným nesouhlasem především u zástupců rozvojových zemí, kteří byli přesvědčeni, že vyspělé země se jim tak snaží odebrat komparativní výhodu levné pracovní síly</w:t>
      </w:r>
      <w:r w:rsidRPr="00BD5F0C">
        <w:t>. (RUPERT, 2005)</w:t>
      </w:r>
      <w:r w:rsidRPr="00F1337F">
        <w:t xml:space="preserve"> </w:t>
      </w:r>
      <w:r>
        <w:t xml:space="preserve">Neúspěch jednání a nedosažení konsenzu bylo na zasedání v Seattlu způsobeno pravděpodobně právě rozpory mezi postoji jednotlivých států. A i když někteří aktivisté směle vyhlásili krach jednání za úspěšné vyústění protestů, zůstává otázkou, jak významnou roli v tomto masové protesty vlastně sehrály. </w:t>
      </w:r>
    </w:p>
    <w:p w:rsidR="0016254A" w:rsidRPr="003264DF" w:rsidRDefault="0016254A" w:rsidP="003264DF">
      <w:pPr>
        <w:pStyle w:val="Nadpis4"/>
        <w:numPr>
          <w:ilvl w:val="0"/>
          <w:numId w:val="0"/>
        </w:numPr>
        <w:ind w:left="864" w:hanging="864"/>
        <w:rPr>
          <w:rFonts w:eastAsiaTheme="minorHAnsi"/>
          <w:bCs w:val="0"/>
          <w:sz w:val="24"/>
          <w:szCs w:val="24"/>
          <w:lang w:eastAsia="en-US"/>
        </w:rPr>
      </w:pPr>
      <w:r w:rsidRPr="003264DF">
        <w:rPr>
          <w:rFonts w:eastAsiaTheme="minorHAnsi"/>
          <w:bCs w:val="0"/>
          <w:sz w:val="24"/>
          <w:szCs w:val="24"/>
          <w:lang w:eastAsia="en-US"/>
        </w:rPr>
        <w:t>Význam Bitvy o Seattle</w:t>
      </w:r>
    </w:p>
    <w:p w:rsidR="0016254A" w:rsidRDefault="0016254A" w:rsidP="00F1337F">
      <w:pPr>
        <w:pStyle w:val="Normlnweb"/>
        <w:widowControl w:val="0"/>
        <w:spacing w:before="0" w:beforeAutospacing="0" w:after="0" w:afterAutospacing="0" w:line="276" w:lineRule="auto"/>
        <w:ind w:firstLine="709"/>
        <w:jc w:val="both"/>
      </w:pPr>
      <w:r>
        <w:tab/>
        <w:t xml:space="preserve">Hlavní význam bitvy o Seattle spočívá v tom, že se demonstrantům podařilo redefinovat otázky týkající se volného obchodu tím, že poukázali na propojení problematiky volného ochodu s klíčovými tématy ochrany životního prostředí, sociálních dopadů a pracovních podmínek. Ukázali, že by otázky související s mezinárodním obchodem neměly být řešeny odděleně od svých sociálních, politických a environmentálních dopadů a důsledků. Rovněž docílili toho, že se témata spojená s negativními dopady globalizace a volného trhu </w:t>
      </w:r>
      <w:r>
        <w:lastRenderedPageBreak/>
        <w:t>dostala výrazně do povědomí široké veřejnosti a začala být diskutována a hlouběji zkoumána. Významná lekce spočívá také v nastolení otázky „kdo by měl rozhodovat o světě a čí svět vlastně je“ a v hledání odpovědi na to, jaký význam má v globální éře stát.</w:t>
      </w:r>
    </w:p>
    <w:p w:rsidR="0016254A" w:rsidRDefault="0016254A" w:rsidP="00F1337F">
      <w:pPr>
        <w:pStyle w:val="Normlnweb"/>
        <w:widowControl w:val="0"/>
        <w:spacing w:before="0" w:beforeAutospacing="0" w:after="0" w:afterAutospacing="0" w:line="276" w:lineRule="auto"/>
        <w:ind w:firstLine="709"/>
        <w:jc w:val="both"/>
      </w:pPr>
      <w:r>
        <w:tab/>
        <w:t>Krach jednání WTO a Seattlu v roce 1999 odhalil významné rozdíly v názorech jednotlivých členských zemí na to, jak by měla politika WTO vypadat. Po Seattlu stála WTO před obrovskou výzvou – bylo třeba dosáhnout takového konsenzu ohledně budoucí politiky WTO, který by odpovídal často dost odlišným zájmům jak rozvojových, tak i vyspělých zemí a také bylo žádoucí získat širokou podporu ze strany veřejnosti zejména v těch nejvyspělejších státech světa. Očekávalo se, že tento nelehký úkol začne být řešen na další ministerské konferenci probíhající od 9. do 14. listopadu 2001 v katarském</w:t>
      </w:r>
      <w:r w:rsidRPr="006D3D27">
        <w:t xml:space="preserve"> </w:t>
      </w:r>
      <w:r>
        <w:t xml:space="preserve">Doha. V rámci těchto jednání se WTO zavázala, že budou přijata taková opatření, aby podporovala především zájmy rozvojových zemí s cílem vytvořit rovnocennější podmínky v oblasti mezinárodního obchodu. Ani na této konferenci, ani na dalších jednáních, které následovaly, se nepodařilo splnit většinu z tohoto závazku. </w:t>
      </w:r>
    </w:p>
    <w:p w:rsidR="003264DF" w:rsidRDefault="003264DF" w:rsidP="003264DF">
      <w:pPr>
        <w:pStyle w:val="Nadpis1"/>
        <w:ind w:firstLine="0"/>
        <w:jc w:val="left"/>
      </w:pPr>
    </w:p>
    <w:p w:rsidR="0016254A" w:rsidRPr="003264DF" w:rsidRDefault="0016254A" w:rsidP="003264DF">
      <w:pPr>
        <w:pStyle w:val="Nadpis1"/>
        <w:ind w:firstLine="0"/>
        <w:jc w:val="left"/>
        <w:rPr>
          <w:rFonts w:eastAsiaTheme="minorHAnsi"/>
          <w:bCs w:val="0"/>
          <w:lang w:eastAsia="en-US"/>
        </w:rPr>
      </w:pPr>
      <w:bookmarkStart w:id="84" w:name="_Toc331023985"/>
      <w:r w:rsidRPr="003264DF">
        <w:rPr>
          <w:rFonts w:eastAsiaTheme="minorHAnsi"/>
          <w:bCs w:val="0"/>
          <w:lang w:eastAsia="en-US"/>
        </w:rPr>
        <w:t>Závěr</w:t>
      </w:r>
      <w:bookmarkEnd w:id="84"/>
    </w:p>
    <w:p w:rsidR="0016254A" w:rsidRDefault="0016254A" w:rsidP="00F1337F">
      <w:pPr>
        <w:pStyle w:val="Normlnweb"/>
        <w:widowControl w:val="0"/>
        <w:spacing w:before="0" w:beforeAutospacing="0" w:after="0" w:afterAutospacing="0" w:line="276" w:lineRule="auto"/>
        <w:ind w:firstLine="709"/>
        <w:jc w:val="both"/>
      </w:pPr>
      <w:r>
        <w:t xml:space="preserve">Protestní akce v roce 1999 poukázaly na nespokojenost široké heterogenní skupiny obyvatel na celém světě se současným stavem světového obchodu určovaným politikou WTO. Události spojené s Karnevalem proti kapitalismu i s protesty v Seattlu demonstrují, že plánované summity státníků a mezinárodních finančních organizací skýtají ukázkovou příležitost k prosazování a šíření názorů a umožňují iniciovat veřejnou diskuzi nad globálními problémy. Protestní akce v Seattlu se dokonce stala </w:t>
      </w:r>
      <w:r w:rsidRPr="00690907">
        <w:t>jakýmsi modelem pro následné protesty s obdobným zaměřením</w:t>
      </w:r>
      <w:r>
        <w:t xml:space="preserve"> v různých městech světa.</w:t>
      </w:r>
      <w:r w:rsidRPr="00690907">
        <w:t xml:space="preserve"> </w:t>
      </w:r>
      <w:r>
        <w:t xml:space="preserve">Přesto otázkou zůstává, jaký byl reálný dopad těchto protestů na další směřování vyjednávání o podobě světového obchodu a snižování nerovností mezi vyspělými a rozvojovými zeměmi. </w:t>
      </w:r>
    </w:p>
    <w:p w:rsidR="0016254A" w:rsidRDefault="0016254A" w:rsidP="0016254A">
      <w:pPr>
        <w:pStyle w:val="Nadpis1"/>
        <w:spacing w:line="360" w:lineRule="auto"/>
        <w:jc w:val="both"/>
      </w:pPr>
    </w:p>
    <w:p w:rsidR="003118B3" w:rsidRPr="00DF128A" w:rsidRDefault="003118B3" w:rsidP="003118B3">
      <w:pPr>
        <w:widowControl w:val="0"/>
        <w:spacing w:line="276" w:lineRule="auto"/>
        <w:jc w:val="both"/>
        <w:rPr>
          <w:rFonts w:ascii="Times New Roman" w:hAnsi="Times New Roman" w:cs="Times New Roman"/>
          <w:sz w:val="24"/>
          <w:szCs w:val="24"/>
        </w:rPr>
      </w:pPr>
      <w:r w:rsidRPr="00622CAB">
        <w:rPr>
          <w:rFonts w:ascii="Times New Roman" w:hAnsi="Times New Roman" w:cs="Times New Roman"/>
          <w:b/>
          <w:sz w:val="24"/>
          <w:szCs w:val="24"/>
        </w:rPr>
        <w:t>LITERATURA A ZDROJE</w:t>
      </w:r>
      <w:r w:rsidRPr="00DF128A">
        <w:rPr>
          <w:rFonts w:ascii="Times New Roman" w:hAnsi="Times New Roman" w:cs="Times New Roman"/>
          <w:sz w:val="24"/>
          <w:szCs w:val="24"/>
        </w:rPr>
        <w: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BARŠA, P. - CÍSAŘ, O. (2004): Levice v postrevoluční době: Občanská společnost a nová sociální hnutí v radikální politické teorii 20. století. Brno: Centrum pro studium demokracie a kultury, 2004. 210 s. ISBN 8073250330.</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GILL, S. (2005): Toward a postmodern prince? The battle in Seattle as a moment in the new politics of globalization. In AMOORE, Louise. The global resistance reader. London: Routledge, 2005. 449 s. ISBN 0415335833.</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GILLHAM, P. - MARX, G. (2003): Irony in Protest and Policing: The World Trade Organization in Seattle. In OPEL, Andy; POMPPER, Donnalyn. Representing resistance: media, civil disobedience, and the Global Justice Movement. 1st publ. Westport, Conn.: Praeger, 2003. 278 s. ISBN 0313323852.</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KOLÁŘOVÁ, M. (2009): Protest proti globalizaci: gender a feministická kritika. 1.vyd. Praha: Sociologické nakladatelství (SLON), 2009. 253. s. ISBN 9788086429960.</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MCNALLY, D. (2006): Another world is possible: globalization &amp; anti-capitalism. Monmouth, Wales: Merlin Press, 2006. 408 s. ISBN 1894037278</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PRUDÍKOVÁ, D. (2010): Násilné demonstrace a nepokoje jako hrozba vnitřní bezpečnosti. In Vybrané bezpečnostní hrozby a rizika 21. století. 1. vyd. Brno: Masarykova univerzita, Mezinárodní politologický ústav, 2010. 227 – 253 s.</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 xml:space="preserve">RUPERT, M. (2005): The new word order. In AMOORE, Louise. The global resistance reader. London: </w:t>
      </w:r>
      <w:r w:rsidRPr="003264DF">
        <w:rPr>
          <w:rFonts w:ascii="Times New Roman" w:hAnsi="Times New Roman" w:cs="Times New Roman"/>
          <w:iCs/>
          <w:sz w:val="20"/>
          <w:szCs w:val="20"/>
        </w:rPr>
        <w:lastRenderedPageBreak/>
        <w:t>Routledge, 2005. 449 s. ISBN 0415335833.</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VODÁKOVÁ, A. – PETRUSEK, M. (1996): Velký sociologický slovník 2. svazek. 1. Vyd. Praha: Karolinum, 1996. 749-1627 s. ISBN 8071843105.</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AFL-CIO: America´s Unions [cit. 26. března 2012]. 2012. Dostupný online:</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&lt;http://www.aflcio.org/&gt;.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AINGER, K.: Global Carnival Against Capitalism. [cit. 20. března 2012]. 1999. Dostupný online: &lt;http://www.thirdworldtraveler.com/Global_Economy/GlobalCarnival.html&gt;.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AL CRESPO: WTO Seattle Collection [cit. 28. března 2012]. 1999. Dostupný online: &lt;http://content.lib.washington.edu/wtoweb/index.html&gt;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BBC NEWS: 1999 Anti-capitalism demo turns violent. [cit. 20. března 2012]. 18. 6. 1999. Dostupný online: &lt;http://news.bbc.co.uk/onthisday/hi/dates/stories/june/18/newsid_2515000/2515679.stm&gt;.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Corbis Images. [cit. 28. března 2012]. 2002 – 2012. Dostupný online:</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&lt;http://www.corbisimages.com/stock-photo/rights-managed/AAKA001366/carnival-against-capitalism-protest-in-london?popup=1&gt;.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GILL, S. Constitutionalizing Inequality &amp; the Clash of Globalizations. International Studies Review, 2002, Vol. 4, No. 2, 47-65 s. [cit. 24. března 2012]. Dostupný online &lt;http://links.jstor.org/sici?sici=15219488%28200222%294%3A2%3C47%3ACIATCO%3E2.0.CO%3B2-B&gt;.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GREEN ACTION: Informační server o environmentálním aktivismus a přímé akci [cit. 26. března 2012]. Aktualizováno dne: 30. 8. 2011. Dostupný online: &lt;http://greenaction.cz/reporty/reclaim-the-streets.html&gt;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Global Exchange [cit. 26. března 2012]. 2011. Dostupný online:</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&lt;http://www.globalexchange.org/&gt;.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Global Day of Action. Do or Die, Is. 8, 30 – 34 s. [cit. 20. března 2012]. 1999. Dostupný online:&lt;http://www.eco-action.org/dod/no8/global.html&gt;.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The Guardian: Police clash with protesters at Carnival Against Capitalism [cit. 20. března 2012]. 18. 6. 1999. Dostupný online:&lt; http://www.guardian.co.uk/uk/1999/jun/18/1&gt;.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Ministerstvo průmyslu a obchodu [cit. 24. března 2012]. 2005. Dostupný online &lt;http://www.mpo.cz/&gt;.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Rainforest Action Network [cit. 26. března 2012]. 1995 – 2011. Dostupný online:</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&lt;http://ran.org/&gt;.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The Seattle Times: The real WTO protest in Seattle [cit. 26. března 2012]. 1999. Dostupný online:&lt; http://seattletimes.nwsource.com/html/photogalleries/localnews1562/&gt;.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Wikipedia, The Free Encyklopedia [cit. 26. března 2012]. 2012. Dostupný online: &lt;http://en.wikipedia.org&gt;</w:t>
      </w:r>
    </w:p>
    <w:p w:rsidR="0016254A" w:rsidRDefault="0016254A">
      <w:pPr>
        <w:rPr>
          <w:rFonts w:ascii="Times New Roman" w:eastAsia="Times New Roman" w:hAnsi="Times New Roman"/>
          <w:sz w:val="24"/>
          <w:szCs w:val="24"/>
        </w:rPr>
      </w:pPr>
      <w:r>
        <w:rPr>
          <w:rFonts w:ascii="Times New Roman" w:eastAsia="Times New Roman" w:hAnsi="Times New Roman"/>
          <w:sz w:val="24"/>
          <w:szCs w:val="24"/>
        </w:rPr>
        <w:br w:type="page"/>
      </w:r>
    </w:p>
    <w:p w:rsidR="0016254A" w:rsidRPr="00B038A1" w:rsidRDefault="0016254A" w:rsidP="0016254A">
      <w:pPr>
        <w:pStyle w:val="Nadpis1"/>
        <w:ind w:firstLine="0"/>
      </w:pPr>
      <w:bookmarkStart w:id="85" w:name="_Toc331023986"/>
      <w:r>
        <w:lastRenderedPageBreak/>
        <w:t>ŠKODA AUTO ČESKÁ REPUBLIKA</w:t>
      </w:r>
      <w:bookmarkEnd w:id="85"/>
    </w:p>
    <w:p w:rsidR="0016254A" w:rsidRPr="00B038A1" w:rsidRDefault="0016254A" w:rsidP="0016254A">
      <w:pPr>
        <w:pStyle w:val="Nadpis1"/>
      </w:pPr>
    </w:p>
    <w:p w:rsidR="0016254A" w:rsidRPr="00DF6C70" w:rsidRDefault="0016254A" w:rsidP="003118B3">
      <w:pPr>
        <w:pStyle w:val="Nadpis1"/>
        <w:rPr>
          <w:b w:val="0"/>
          <w:i/>
        </w:rPr>
      </w:pPr>
      <w:bookmarkStart w:id="86" w:name="_Toc331023987"/>
      <w:r>
        <w:rPr>
          <w:b w:val="0"/>
          <w:i/>
        </w:rPr>
        <w:t>Dominik Prymš</w:t>
      </w:r>
      <w:bookmarkEnd w:id="86"/>
    </w:p>
    <w:p w:rsidR="0016254A" w:rsidRPr="00DF128A" w:rsidRDefault="0016254A" w:rsidP="003118B3">
      <w:pPr>
        <w:widowControl w:val="0"/>
        <w:spacing w:line="276" w:lineRule="auto"/>
        <w:jc w:val="both"/>
        <w:rPr>
          <w:rFonts w:ascii="Times New Roman" w:hAnsi="Times New Roman" w:cs="Times New Roman"/>
          <w:sz w:val="24"/>
          <w:szCs w:val="24"/>
        </w:rPr>
      </w:pPr>
    </w:p>
    <w:p w:rsidR="0016254A" w:rsidRPr="00953812" w:rsidRDefault="0016254A" w:rsidP="0016254A">
      <w:pPr>
        <w:rPr>
          <w:rFonts w:ascii="Times New Roman" w:hAnsi="Times New Roman" w:cs="Times New Roman"/>
          <w:b/>
          <w:sz w:val="24"/>
          <w:szCs w:val="24"/>
        </w:rPr>
      </w:pPr>
      <w:r>
        <w:rPr>
          <w:rFonts w:ascii="Times New Roman" w:hAnsi="Times New Roman" w:cs="Times New Roman"/>
          <w:b/>
          <w:sz w:val="24"/>
          <w:szCs w:val="24"/>
        </w:rPr>
        <w:t>Úvod</w:t>
      </w:r>
    </w:p>
    <w:p w:rsidR="0016254A" w:rsidRPr="005E6BCE" w:rsidRDefault="0016254A" w:rsidP="00F1337F">
      <w:pPr>
        <w:pStyle w:val="Normlnweb"/>
        <w:widowControl w:val="0"/>
        <w:spacing w:before="0" w:beforeAutospacing="0" w:after="0" w:afterAutospacing="0" w:line="276" w:lineRule="auto"/>
        <w:ind w:firstLine="709"/>
        <w:jc w:val="both"/>
      </w:pPr>
      <w:r>
        <w:t>Seminární práce je zaměřena</w:t>
      </w:r>
      <w:r w:rsidRPr="005E6BCE">
        <w:t xml:space="preserve"> na commodity</w:t>
      </w:r>
      <w:r>
        <w:t xml:space="preserve"> chains ve společnosti ŠKODA AUTO. Jak v rámci oboru geografie, tak i zde je kladen důraz především na prostorovou stránku působnosti Škody Auto. Jedním z cílů práce bude přiblížit dodavatelskou síť společnosti, protože doby, kdy celé vozy vznikali kompletně v jednom státě, jsou pryč. Druhým bodem bude představení postupu, kdy se vůz smontuje jen částečně v základním výrobním závodu </w:t>
      </w:r>
      <w:r w:rsidRPr="005E6BCE">
        <w:t>v</w:t>
      </w:r>
      <w:r>
        <w:t> </w:t>
      </w:r>
      <w:r w:rsidRPr="005E6BCE">
        <w:t>Č</w:t>
      </w:r>
      <w:r>
        <w:t>eské republice a pak putuje do</w:t>
      </w:r>
      <w:r w:rsidRPr="005E6BCE">
        <w:t xml:space="preserve"> koncerno</w:t>
      </w:r>
      <w:r>
        <w:t>vých továren</w:t>
      </w:r>
      <w:r w:rsidRPr="005E6BCE">
        <w:t xml:space="preserve"> nacházející</w:t>
      </w:r>
      <w:r>
        <w:t>ch se ve v</w:t>
      </w:r>
      <w:r w:rsidRPr="005E6BCE">
        <w:t>ýchodní Evropě nebo Asii</w:t>
      </w:r>
      <w:r>
        <w:t>, kde se kompletuje hotové vozidlo</w:t>
      </w:r>
      <w:r w:rsidRPr="005E6BCE">
        <w:t xml:space="preserve">. </w:t>
      </w:r>
    </w:p>
    <w:p w:rsidR="0016254A" w:rsidRPr="00F1337F" w:rsidRDefault="0016254A" w:rsidP="00F1337F">
      <w:pPr>
        <w:pStyle w:val="Normlnweb"/>
        <w:widowControl w:val="0"/>
        <w:spacing w:before="0" w:beforeAutospacing="0" w:after="0" w:afterAutospacing="0" w:line="276" w:lineRule="auto"/>
        <w:ind w:firstLine="709"/>
        <w:jc w:val="both"/>
      </w:pPr>
    </w:p>
    <w:p w:rsidR="0016254A" w:rsidRDefault="0016254A" w:rsidP="0016254A">
      <w:pPr>
        <w:rPr>
          <w:rFonts w:ascii="Times New Roman" w:hAnsi="Times New Roman" w:cs="Times New Roman"/>
          <w:b/>
          <w:sz w:val="24"/>
          <w:szCs w:val="24"/>
        </w:rPr>
      </w:pPr>
      <w:r>
        <w:rPr>
          <w:rFonts w:ascii="Times New Roman" w:hAnsi="Times New Roman" w:cs="Times New Roman"/>
          <w:b/>
          <w:sz w:val="24"/>
          <w:szCs w:val="24"/>
        </w:rPr>
        <w:t>Představení společnosti</w:t>
      </w:r>
    </w:p>
    <w:p w:rsidR="0016254A" w:rsidRDefault="0016254A" w:rsidP="00F1337F">
      <w:pPr>
        <w:pStyle w:val="Normlnweb"/>
        <w:widowControl w:val="0"/>
        <w:spacing w:before="0" w:beforeAutospacing="0" w:after="0" w:afterAutospacing="0" w:line="276" w:lineRule="auto"/>
        <w:ind w:firstLine="709"/>
        <w:jc w:val="both"/>
      </w:pPr>
      <w:r>
        <w:t>Historie</w:t>
      </w:r>
      <w:r w:rsidRPr="00C93F43">
        <w:t xml:space="preserve"> společnosti ŠKODA AUTO a.s.</w:t>
      </w:r>
      <w:r>
        <w:t xml:space="preserve"> sahá až do roku 1895, kdy byl založen podnik </w:t>
      </w:r>
      <w:r w:rsidRPr="00C93F43">
        <w:t>Laurin &amp; Klement</w:t>
      </w:r>
      <w:r>
        <w:t>. Po výrobě jízdních kol a motocyklů byl p</w:t>
      </w:r>
      <w:r w:rsidRPr="00C93F43">
        <w:t xml:space="preserve">rvní automobil Voiturette A </w:t>
      </w:r>
      <w:r>
        <w:t xml:space="preserve">sestrojen roku 1905. </w:t>
      </w:r>
      <w:r w:rsidRPr="00C93F43">
        <w:t>Po roce 1914 se firma účastní válečné výroby.</w:t>
      </w:r>
      <w:r>
        <w:t xml:space="preserve"> V roce 1925</w:t>
      </w:r>
      <w:r w:rsidRPr="00C93F43">
        <w:t xml:space="preserve"> </w:t>
      </w:r>
      <w:r>
        <w:t>došlo ke s</w:t>
      </w:r>
      <w:r w:rsidRPr="00C93F43">
        <w:t>po</w:t>
      </w:r>
      <w:r>
        <w:t>jení se strojírenským podnikem Škoda Plzeň</w:t>
      </w:r>
      <w:r w:rsidRPr="00C93F43">
        <w:t>. Nastává konec etapy pod značkou Laurin &amp; Klement a začíná etapa ve znaku Škoda. Vznikají sériově vyráběná krásná auta, s řadou uměleckých detailů, která jso</w:t>
      </w:r>
      <w:r>
        <w:t>u úspěšná v mezinárodních soutěž</w:t>
      </w:r>
      <w:r w:rsidRPr="00C93F43">
        <w:t>ích. Světová hospodářská krize zpomaluje ryc</w:t>
      </w:r>
      <w:r>
        <w:t>hlost rozvoje</w:t>
      </w:r>
      <w:r w:rsidRPr="00C93F43">
        <w:t>.</w:t>
      </w:r>
      <w:r>
        <w:t xml:space="preserve"> V těž</w:t>
      </w:r>
      <w:r w:rsidRPr="00C93F43">
        <w:t>kém období 2. světové války a německé okupace se Škoda stává součástí hospodářského systému německé Říše. Výrobní pro</w:t>
      </w:r>
      <w:r>
        <w:t>gram je okamž</w:t>
      </w:r>
      <w:r w:rsidRPr="00C93F43">
        <w:t>itě omezen a výroba se orientuje především na potřeby zbrojení.</w:t>
      </w:r>
      <w:r>
        <w:t xml:space="preserve"> </w:t>
      </w:r>
    </w:p>
    <w:p w:rsidR="0016254A" w:rsidRDefault="0016254A" w:rsidP="00F1337F">
      <w:pPr>
        <w:pStyle w:val="Normlnweb"/>
        <w:widowControl w:val="0"/>
        <w:spacing w:before="0" w:beforeAutospacing="0" w:after="0" w:afterAutospacing="0" w:line="276" w:lineRule="auto"/>
        <w:ind w:firstLine="709"/>
        <w:jc w:val="both"/>
      </w:pPr>
      <w:r w:rsidRPr="00C93F43">
        <w:t>Konec druhé sv</w:t>
      </w:r>
      <w:r>
        <w:t>ětové války přináší další změny, po roce 1948</w:t>
      </w:r>
      <w:r w:rsidRPr="00C93F43">
        <w:t xml:space="preserve"> </w:t>
      </w:r>
      <w:r>
        <w:t>je vše</w:t>
      </w:r>
      <w:r w:rsidRPr="00C93F43">
        <w:t xml:space="preserve"> centrálně plánováno. Je omezován kontakt a pře</w:t>
      </w:r>
      <w:r>
        <w:t xml:space="preserve">dávání informací s rozvíjejícím </w:t>
      </w:r>
      <w:r w:rsidRPr="00C93F43">
        <w:t>se Západem. Firma je zcela oddělena od plzeňské strojírny Škoda, je přeměněna na národní podnik s označením AZNP Škoda a stává se monopolním výrobcem osobních vozidel v Československu.</w:t>
      </w:r>
      <w:r>
        <w:t xml:space="preserve"> </w:t>
      </w:r>
      <w:r w:rsidRPr="00C93F43">
        <w:t>Československé hospodářství socialistické poválečné doby díky dobrým základům, tradičním výrobním postupům a úspěš</w:t>
      </w:r>
      <w:r>
        <w:t>né minulosti dlouho úspěšně přežívá zásahy rež</w:t>
      </w:r>
      <w:r w:rsidRPr="00C93F43">
        <w:t xml:space="preserve">imu a informační izolace. </w:t>
      </w:r>
    </w:p>
    <w:p w:rsidR="0016254A" w:rsidRDefault="0016254A" w:rsidP="00F1337F">
      <w:pPr>
        <w:pStyle w:val="Normlnweb"/>
        <w:widowControl w:val="0"/>
        <w:spacing w:before="0" w:beforeAutospacing="0" w:after="0" w:afterAutospacing="0" w:line="276" w:lineRule="auto"/>
        <w:ind w:firstLine="709"/>
        <w:jc w:val="both"/>
      </w:pPr>
      <w:r w:rsidRPr="00C93F43">
        <w:t>Politický převrat v roce 19</w:t>
      </w:r>
      <w:r>
        <w:t>89 přináší nové ekonomické a trž</w:t>
      </w:r>
      <w:r w:rsidRPr="00C93F43">
        <w:t>ní prostředí. Hledá se silný zahraniční partner. Je třeba přinést do Škody nové zkušenosti a další investice. V prosinci 1990 se vláda rozhoduje pro spolupráci s německým koncernem Volkswagen a 16. dubna 1991 se Škoda stává vedle firem VW, Audi a Seat čtvrtou značkou koncernu</w:t>
      </w:r>
      <w:r>
        <w:t xml:space="preserve">. </w:t>
      </w:r>
      <w:r w:rsidRPr="00C93F43">
        <w:t xml:space="preserve">Dnes, pod značkou Škoda, se automobily úspěšně prodávají na trzích celého světa. Automobilka provozuje vlastní vysokou školu (ŠAVŠ) a odborné učiliště. </w:t>
      </w:r>
    </w:p>
    <w:p w:rsidR="0016254A" w:rsidRDefault="0016254A" w:rsidP="00F1337F">
      <w:pPr>
        <w:pStyle w:val="Normlnweb"/>
        <w:widowControl w:val="0"/>
        <w:spacing w:before="0" w:beforeAutospacing="0" w:after="0" w:afterAutospacing="0" w:line="276" w:lineRule="auto"/>
        <w:ind w:firstLine="709"/>
        <w:jc w:val="both"/>
      </w:pPr>
      <w:r w:rsidRPr="00C93F43">
        <w:t>Začátkem roku 2011 byla nastartována nová etapa rozvoje společnosti – tzv. Růstová strategie. Tato etapa má za cíl minimálně zdvojn</w:t>
      </w:r>
      <w:r>
        <w:t>ásobení vyráběných objemů, dosaz</w:t>
      </w:r>
      <w:r w:rsidRPr="00C93F43">
        <w:t>ení úrovni výnosnosti odpovídající nejlepší konkurenci a kompletní obnovu a rozšíření produktové řady. Dle odhadů britského časopisu Car uvede společnost</w:t>
      </w:r>
      <w:r>
        <w:t xml:space="preserve"> ŠKODA AUTO a.s. do roku 2016 až</w:t>
      </w:r>
      <w:r w:rsidRPr="00C93F43">
        <w:t xml:space="preserve"> 16 nových model</w:t>
      </w:r>
      <w:r>
        <w:t>ů</w:t>
      </w:r>
      <w:r w:rsidRPr="00C93F43">
        <w:t xml:space="preserve"> (včetně facelift</w:t>
      </w:r>
      <w:r>
        <w:t>ů). Tato produktová ofenzíva již</w:t>
      </w:r>
      <w:r w:rsidRPr="00C93F43">
        <w:t xml:space="preserve"> začala ukázkou konceptů VisionD a MissionL a zahájením prodejů nového</w:t>
      </w:r>
      <w:r>
        <w:t xml:space="preserve"> městského auta Citigo (Lebedzeva 2011: s. 49 – 51).</w:t>
      </w:r>
    </w:p>
    <w:p w:rsidR="0016254A" w:rsidRPr="00F1337F" w:rsidRDefault="0016254A" w:rsidP="00F1337F">
      <w:pPr>
        <w:pStyle w:val="Normlnweb"/>
        <w:widowControl w:val="0"/>
        <w:spacing w:before="0" w:beforeAutospacing="0" w:after="0" w:afterAutospacing="0" w:line="276" w:lineRule="auto"/>
        <w:ind w:firstLine="709"/>
        <w:jc w:val="both"/>
      </w:pPr>
    </w:p>
    <w:p w:rsidR="0016254A" w:rsidRPr="000D6993" w:rsidRDefault="0016254A" w:rsidP="0016254A">
      <w:pPr>
        <w:widowControl w:val="0"/>
        <w:jc w:val="both"/>
        <w:rPr>
          <w:rFonts w:ascii="Times New Roman" w:hAnsi="Times New Roman" w:cs="Times New Roman"/>
          <w:b/>
          <w:sz w:val="24"/>
          <w:szCs w:val="24"/>
        </w:rPr>
      </w:pPr>
      <w:r w:rsidRPr="000D6993">
        <w:rPr>
          <w:rFonts w:ascii="Times New Roman" w:hAnsi="Times New Roman" w:cs="Times New Roman"/>
          <w:b/>
          <w:sz w:val="24"/>
          <w:szCs w:val="24"/>
        </w:rPr>
        <w:lastRenderedPageBreak/>
        <w:t>Mezinárodní postavení společnosti</w:t>
      </w:r>
    </w:p>
    <w:p w:rsidR="0016254A" w:rsidRDefault="0016254A" w:rsidP="00F1337F">
      <w:pPr>
        <w:pStyle w:val="Normlnweb"/>
        <w:widowControl w:val="0"/>
        <w:spacing w:before="0" w:beforeAutospacing="0" w:after="0" w:afterAutospacing="0" w:line="276" w:lineRule="auto"/>
        <w:ind w:firstLine="709"/>
        <w:jc w:val="both"/>
      </w:pPr>
      <w:r>
        <w:t xml:space="preserve">Jak již bylo výše zmíněno, ŠKODA AUTO a.s. je v současnosti součástí koncernu Volkswagen Group. Volkswagen Group se skládá z 10 značek ze sedmi zemí (Německo, Španělsko, Itálie, Česká republika, Velká Británie, Švédsko a Francie), konkrétně značky </w:t>
      </w:r>
      <w:r w:rsidRPr="00821CBB">
        <w:t>Volkswagen, Audi, SEAT, ŠKODA, Bentley, Bugatti, Lamborghini</w:t>
      </w:r>
      <w:r>
        <w:t>, Volkswagen užitkové vozy, Scania a</w:t>
      </w:r>
      <w:r w:rsidRPr="00821CBB">
        <w:t xml:space="preserve"> MAN</w:t>
      </w:r>
      <w:r>
        <w:t xml:space="preserve"> (Volkswagen Group)</w:t>
      </w:r>
      <w:r w:rsidRPr="00821CBB">
        <w:t>.</w:t>
      </w:r>
      <w:r>
        <w:t xml:space="preserve"> Vlastník Volkswagen Group, Volkswagen AG, má rovněž poloviční podíl v další německé značce, a to ve výrobci sportovních aut Porsche (</w:t>
      </w:r>
      <w:r w:rsidRPr="000D1F7F">
        <w:t>Volkswagen koupil 49,9 procent automobilky Porsche</w:t>
      </w:r>
      <w:r>
        <w:t xml:space="preserve">). Již z tohoto předpokladu je jasné, že působnost v mezinárodním koncernu má vliv i na vlastní výrobu v České republice, mezinárodní spolupráce se rozrůstá a tím i vlastní rozsah ŠKODY AUTO a.s. za hranice nejen České republiky, ale také mimo hranice Evropy (viz Obr. 1).  </w:t>
      </w:r>
    </w:p>
    <w:p w:rsidR="0016254A" w:rsidRDefault="0016254A" w:rsidP="0016254A">
      <w:pPr>
        <w:widowControl w:val="0"/>
        <w:ind w:firstLine="709"/>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65408" behindDoc="0" locked="0" layoutInCell="1" allowOverlap="1" wp14:anchorId="10A7488D" wp14:editId="7C970367">
            <wp:simplePos x="0" y="0"/>
            <wp:positionH relativeFrom="column">
              <wp:posOffset>62230</wp:posOffset>
            </wp:positionH>
            <wp:positionV relativeFrom="paragraph">
              <wp:posOffset>46990</wp:posOffset>
            </wp:positionV>
            <wp:extent cx="5762625" cy="2543175"/>
            <wp:effectExtent l="19050" t="0" r="9525" b="0"/>
            <wp:wrapSquare wrapText="bothSides"/>
            <wp:docPr id="4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5762625" cy="2543175"/>
                    </a:xfrm>
                    <a:prstGeom prst="rect">
                      <a:avLst/>
                    </a:prstGeom>
                    <a:noFill/>
                    <a:ln w="9525">
                      <a:noFill/>
                      <a:miter lim="800000"/>
                      <a:headEnd/>
                      <a:tailEnd/>
                    </a:ln>
                  </pic:spPr>
                </pic:pic>
              </a:graphicData>
            </a:graphic>
          </wp:anchor>
        </w:drawing>
      </w:r>
    </w:p>
    <w:p w:rsidR="0016254A" w:rsidRPr="00DF128A" w:rsidRDefault="0016254A" w:rsidP="0016254A">
      <w:pPr>
        <w:widowControl w:val="0"/>
        <w:jc w:val="both"/>
        <w:rPr>
          <w:rFonts w:ascii="Times New Roman" w:hAnsi="Times New Roman" w:cs="Times New Roman"/>
          <w:color w:val="000000"/>
          <w:sz w:val="24"/>
          <w:szCs w:val="24"/>
        </w:rPr>
      </w:pPr>
      <w:r w:rsidRPr="00DF128A">
        <w:rPr>
          <w:rFonts w:ascii="Times New Roman" w:hAnsi="Times New Roman" w:cs="Times New Roman"/>
          <w:b/>
          <w:bCs/>
          <w:color w:val="000000"/>
          <w:sz w:val="24"/>
          <w:szCs w:val="24"/>
        </w:rPr>
        <w:t>Obr. 1</w:t>
      </w:r>
      <w:r>
        <w:rPr>
          <w:rFonts w:ascii="Times New Roman" w:hAnsi="Times New Roman" w:cs="Times New Roman"/>
          <w:b/>
          <w:bCs/>
          <w:color w:val="000000"/>
          <w:sz w:val="24"/>
          <w:szCs w:val="24"/>
        </w:rPr>
        <w:t>:</w:t>
      </w:r>
      <w:r w:rsidRPr="00DF128A">
        <w:rPr>
          <w:rFonts w:ascii="Times New Roman" w:hAnsi="Times New Roman" w:cs="Times New Roman"/>
          <w:color w:val="000000"/>
          <w:sz w:val="24"/>
          <w:szCs w:val="24"/>
        </w:rPr>
        <w:t xml:space="preserve"> </w:t>
      </w:r>
      <w:r>
        <w:rPr>
          <w:rFonts w:ascii="Times New Roman" w:hAnsi="Times New Roman" w:cs="Times New Roman"/>
          <w:color w:val="000000"/>
          <w:sz w:val="24"/>
          <w:szCs w:val="24"/>
        </w:rPr>
        <w:t>Lokalizace výrobních závodů koncernu Volkswagen Group</w:t>
      </w:r>
    </w:p>
    <w:p w:rsidR="0016254A" w:rsidRPr="00DF128A" w:rsidRDefault="0016254A" w:rsidP="0016254A">
      <w:pPr>
        <w:widowControl w:val="0"/>
        <w:jc w:val="both"/>
        <w:rPr>
          <w:rFonts w:ascii="Times New Roman" w:hAnsi="Times New Roman" w:cs="Times New Roman"/>
          <w:i/>
          <w:iCs/>
          <w:sz w:val="20"/>
          <w:szCs w:val="20"/>
        </w:rPr>
      </w:pPr>
      <w:r>
        <w:rPr>
          <w:rFonts w:ascii="Times New Roman" w:hAnsi="Times New Roman" w:cs="Times New Roman"/>
          <w:i/>
          <w:iCs/>
          <w:sz w:val="20"/>
          <w:szCs w:val="20"/>
        </w:rPr>
        <w:t>Zdroj:</w:t>
      </w:r>
      <w:r w:rsidRPr="00BF7946">
        <w:rPr>
          <w:rFonts w:ascii="Times New Roman" w:hAnsi="Times New Roman" w:cs="Times New Roman"/>
          <w:i/>
          <w:iCs/>
          <w:sz w:val="20"/>
          <w:szCs w:val="20"/>
        </w:rPr>
        <w:t>https://upload.wikimedia.org/wikipedia/commons/thumb/3/3d/World_locations_of_Volkswagen_Group_factories_updated.svg/800px-World_locations_of_Volkswagen_Group_factories_updated.svg.png</w:t>
      </w:r>
      <w:r>
        <w:rPr>
          <w:rFonts w:ascii="Times New Roman" w:hAnsi="Times New Roman" w:cs="Times New Roman"/>
          <w:i/>
          <w:iCs/>
          <w:sz w:val="20"/>
          <w:szCs w:val="20"/>
        </w:rPr>
        <w:t xml:space="preserve"> </w:t>
      </w:r>
    </w:p>
    <w:p w:rsidR="0016254A" w:rsidRDefault="0016254A" w:rsidP="0016254A">
      <w:pPr>
        <w:widowControl w:val="0"/>
        <w:jc w:val="both"/>
        <w:rPr>
          <w:rFonts w:ascii="Times New Roman" w:hAnsi="Times New Roman" w:cs="Times New Roman"/>
          <w:sz w:val="24"/>
          <w:szCs w:val="24"/>
        </w:rPr>
      </w:pPr>
    </w:p>
    <w:p w:rsidR="0016254A" w:rsidRDefault="0016254A" w:rsidP="0016254A">
      <w:pPr>
        <w:widowControl w:val="0"/>
        <w:jc w:val="both"/>
        <w:rPr>
          <w:rFonts w:ascii="Times New Roman" w:hAnsi="Times New Roman" w:cs="Times New Roman"/>
          <w:b/>
          <w:sz w:val="24"/>
          <w:szCs w:val="24"/>
        </w:rPr>
      </w:pPr>
      <w:r w:rsidRPr="00BF7946">
        <w:rPr>
          <w:rFonts w:ascii="Times New Roman" w:hAnsi="Times New Roman" w:cs="Times New Roman"/>
          <w:b/>
          <w:sz w:val="24"/>
          <w:szCs w:val="24"/>
        </w:rPr>
        <w:t>Dodavatelské struktury</w:t>
      </w:r>
    </w:p>
    <w:p w:rsidR="0016254A" w:rsidRDefault="0016254A" w:rsidP="00F1337F">
      <w:pPr>
        <w:pStyle w:val="Normlnweb"/>
        <w:widowControl w:val="0"/>
        <w:spacing w:before="0" w:beforeAutospacing="0" w:after="0" w:afterAutospacing="0" w:line="276" w:lineRule="auto"/>
        <w:ind w:firstLine="709"/>
        <w:jc w:val="both"/>
      </w:pPr>
      <w:r>
        <w:rPr>
          <w:b/>
        </w:rPr>
        <w:tab/>
      </w:r>
      <w:r>
        <w:t xml:space="preserve">V moderních společnostech je již samozřejmostí široká základna dodavatelů výrobních dílů, kteří úzce spolupracují s hlavními výrobními závody. </w:t>
      </w:r>
      <w:r w:rsidRPr="00947403">
        <w:t>Moderní automobil na patřičné</w:t>
      </w:r>
      <w:r>
        <w:t xml:space="preserve"> </w:t>
      </w:r>
      <w:r w:rsidRPr="00947403">
        <w:t>technické úrovni se v dnešní době</w:t>
      </w:r>
      <w:r>
        <w:t xml:space="preserve"> skládá z cca</w:t>
      </w:r>
      <w:r w:rsidRPr="00947403">
        <w:t xml:space="preserve"> 7 500 součástek.</w:t>
      </w:r>
      <w:r>
        <w:t xml:space="preserve"> </w:t>
      </w:r>
      <w:r w:rsidRPr="00947403">
        <w:t>Škoda Auto spolupracuje s</w:t>
      </w:r>
      <w:r>
        <w:t> </w:t>
      </w:r>
      <w:r w:rsidRPr="00947403">
        <w:t>více</w:t>
      </w:r>
      <w:r>
        <w:t xml:space="preserve"> </w:t>
      </w:r>
      <w:r w:rsidRPr="00947403">
        <w:t xml:space="preserve">než </w:t>
      </w:r>
      <w:r>
        <w:t>1 000</w:t>
      </w:r>
      <w:r w:rsidRPr="00947403">
        <w:t xml:space="preserve"> domácími a zahraničními</w:t>
      </w:r>
      <w:r>
        <w:t xml:space="preserve"> dodavateli. </w:t>
      </w:r>
      <w:r w:rsidRPr="00947403">
        <w:t>Podstatou je, že stěžejní dodavatelé</w:t>
      </w:r>
      <w:r>
        <w:t xml:space="preserve"> </w:t>
      </w:r>
      <w:r w:rsidRPr="00947403">
        <w:t>jsou zapojeni do celého procesu</w:t>
      </w:r>
      <w:r>
        <w:t xml:space="preserve"> </w:t>
      </w:r>
      <w:r w:rsidRPr="00947403">
        <w:t>od okamžiku vývoje systému až po</w:t>
      </w:r>
      <w:r>
        <w:t xml:space="preserve"> </w:t>
      </w:r>
      <w:r w:rsidRPr="00947403">
        <w:t>konečnou montáž, kterou částečně</w:t>
      </w:r>
      <w:r>
        <w:t xml:space="preserve"> </w:t>
      </w:r>
      <w:r w:rsidRPr="00947403">
        <w:t>i sami přejímají. Dodavatelé jsou</w:t>
      </w:r>
      <w:r>
        <w:t xml:space="preserve"> </w:t>
      </w:r>
      <w:r w:rsidRPr="00947403">
        <w:t>d</w:t>
      </w:r>
      <w:r>
        <w:t>ůležitým článkem celého řetězce (Škoda Auto výroční zpráva 2003: s. 17). Jak již bylo výše zmíněno, od roku 1990 navázala ŠKODA úzkou spolupráci s automobilkou Volkswagen, v roce 1991 již vlastnil Volkswagen 30% státního podniku, který do roku 2000 postupně koupil celý (Léčivý Volkswagen aneb jak se ze škody stal klenot). Tento vývoj se podepsal na šíři a rozsahu dodavatelského systému. Ze státního podniku, který byl vázán především na místní zdroje, se stal podnik, který už v roce 2000 měl počet zahraničních dodavatelů</w:t>
      </w:r>
      <w:r w:rsidRPr="00F1337F">
        <w:t xml:space="preserve"> </w:t>
      </w:r>
      <w:r w:rsidRPr="00D75513">
        <w:t>již</w:t>
      </w:r>
      <w:r>
        <w:t xml:space="preserve"> 884, kdežto tuzemských pouze 303 (viz Obr. 2). Objem nákupů hovoří ale ve prospěch českých dodavatelů. Mezi lety 1999 a 2000 vrostl nákup dílů o 38% na 91,1 mld. Kč, z čehož 66% putovalo k tuzemským dodavatelům (</w:t>
      </w:r>
      <w:r w:rsidRPr="00D1611D">
        <w:t>Škoda Auto výroční zpráva 2000</w:t>
      </w:r>
      <w:r>
        <w:t xml:space="preserve">: s. 22). Tento podíl se ale v dalších letech snižuje a v roce </w:t>
      </w:r>
      <w:r>
        <w:lastRenderedPageBreak/>
        <w:t>2010 to je již jen 55%.</w:t>
      </w:r>
    </w:p>
    <w:p w:rsidR="0016254A" w:rsidRDefault="0016254A" w:rsidP="00F1337F">
      <w:pPr>
        <w:pStyle w:val="Normlnweb"/>
        <w:widowControl w:val="0"/>
        <w:spacing w:before="0" w:beforeAutospacing="0" w:after="0" w:afterAutospacing="0" w:line="276" w:lineRule="auto"/>
        <w:ind w:firstLine="709"/>
        <w:jc w:val="both"/>
      </w:pPr>
      <w:r>
        <w:t>Ve svých výročních zprávách také Škoda uvádí, že nečastějšími dodavateli jsou závody z České republiky, Slovenské republiky, Polska a Slovinska (</w:t>
      </w:r>
      <w:r w:rsidRPr="00D1611D">
        <w:t>Škoda Auto výroční zpráva 2000</w:t>
      </w:r>
      <w:r>
        <w:t xml:space="preserve">: s. 23). Dodavatelské smlouvy v rámci koncernu měla ŠKODA v roce 2002 uzavřeny se závody z Německa (AUDI AG, </w:t>
      </w:r>
      <w:r w:rsidRPr="00D1611D">
        <w:t>Automobilmanufaktur Dresden GmbH</w:t>
      </w:r>
      <w:r>
        <w:t xml:space="preserve">, </w:t>
      </w:r>
      <w:r w:rsidRPr="00D1611D">
        <w:t>VOLKSWAGEN AG</w:t>
      </w:r>
      <w:r>
        <w:t>,…), Polska (</w:t>
      </w:r>
      <w:r w:rsidRPr="0077452B">
        <w:t xml:space="preserve">Volkswagen Poznan Sp. z </w:t>
      </w:r>
      <w:proofErr w:type="gramStart"/>
      <w:r w:rsidRPr="0077452B">
        <w:t>o.o.</w:t>
      </w:r>
      <w:proofErr w:type="gramEnd"/>
      <w:r>
        <w:t>), Slovenska</w:t>
      </w:r>
      <w:r w:rsidRPr="0077452B">
        <w:t xml:space="preserve"> </w:t>
      </w:r>
      <w:r>
        <w:t>(</w:t>
      </w:r>
      <w:r w:rsidRPr="0077452B">
        <w:t>VOLKSWAGEN SLOVAKIA, a.s.</w:t>
      </w:r>
      <w:r>
        <w:t xml:space="preserve">), ale i se závody ze vzdálenějšího Španělska (SEAT, S.A.,  </w:t>
      </w:r>
      <w:r w:rsidRPr="0077452B">
        <w:t>Volkswagen Navarra, S.A.</w:t>
      </w:r>
      <w:r>
        <w:t xml:space="preserve">, </w:t>
      </w:r>
      <w:r w:rsidRPr="0077452B">
        <w:t>Gearbox del Prat, S.A.</w:t>
      </w:r>
      <w:r>
        <w:t>), Argentiny (</w:t>
      </w:r>
      <w:r w:rsidRPr="0077452B">
        <w:t>Volkswagen Argentina S.A.</w:t>
      </w:r>
      <w:r>
        <w:t>), Brazílie (</w:t>
      </w:r>
      <w:r w:rsidRPr="0077452B">
        <w:t>Volkswagen do Brasil Ltda.</w:t>
      </w:r>
      <w:r>
        <w:t>), či Mexika (</w:t>
      </w:r>
      <w:r w:rsidRPr="0077452B">
        <w:t>Volkswagen de M</w:t>
      </w:r>
      <w:r>
        <w:t>e</w:t>
      </w:r>
      <w:r w:rsidRPr="0077452B">
        <w:t>xico, S.A. de C.V.</w:t>
      </w:r>
      <w:r>
        <w:t>) (</w:t>
      </w:r>
      <w:r w:rsidRPr="0077452B">
        <w:t>Škoda Auto výroční zpráva 2002</w:t>
      </w:r>
      <w:r>
        <w:t>: s. 67), S dodavateli z těchto zemí je stále spolupracováno.</w:t>
      </w:r>
    </w:p>
    <w:p w:rsidR="0016254A" w:rsidRDefault="0016254A" w:rsidP="0016254A">
      <w:pPr>
        <w:widowControl w:val="0"/>
        <w:ind w:firstLine="708"/>
        <w:jc w:val="both"/>
        <w:rPr>
          <w:rFonts w:ascii="Times New Roman" w:hAnsi="Times New Roman" w:cs="Times New Roman"/>
          <w:sz w:val="24"/>
          <w:szCs w:val="24"/>
        </w:rPr>
      </w:pPr>
    </w:p>
    <w:p w:rsidR="0016254A" w:rsidRPr="00BF7946" w:rsidRDefault="0016254A" w:rsidP="0016254A">
      <w:pPr>
        <w:widowControl w:val="0"/>
        <w:rPr>
          <w:rFonts w:ascii="Times New Roman" w:hAnsi="Times New Roman" w:cs="Times New Roman"/>
          <w:sz w:val="24"/>
          <w:szCs w:val="24"/>
        </w:rPr>
      </w:pPr>
      <w:r>
        <w:rPr>
          <w:rFonts w:ascii="Times New Roman" w:hAnsi="Times New Roman" w:cs="Times New Roman"/>
          <w:sz w:val="24"/>
          <w:szCs w:val="24"/>
        </w:rPr>
        <w:t xml:space="preserve"> </w:t>
      </w:r>
      <w:r w:rsidRPr="00677209">
        <w:rPr>
          <w:rFonts w:ascii="Times New Roman" w:hAnsi="Times New Roman" w:cs="Times New Roman"/>
          <w:noProof/>
          <w:sz w:val="24"/>
          <w:szCs w:val="24"/>
          <w:lang w:eastAsia="cs-CZ"/>
        </w:rPr>
        <w:drawing>
          <wp:inline distT="0" distB="0" distL="0" distR="0" wp14:anchorId="2BD754EF" wp14:editId="7EE217CE">
            <wp:extent cx="4010025" cy="2696386"/>
            <wp:effectExtent l="19050" t="0" r="0" b="0"/>
            <wp:docPr id="42"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a:stretch>
                      <a:fillRect/>
                    </a:stretch>
                  </pic:blipFill>
                  <pic:spPr bwMode="auto">
                    <a:xfrm>
                      <a:off x="0" y="0"/>
                      <a:ext cx="4014618" cy="2699475"/>
                    </a:xfrm>
                    <a:prstGeom prst="rect">
                      <a:avLst/>
                    </a:prstGeom>
                    <a:noFill/>
                    <a:ln w="9525">
                      <a:noFill/>
                      <a:miter lim="800000"/>
                      <a:headEnd/>
                      <a:tailEnd/>
                    </a:ln>
                  </pic:spPr>
                </pic:pic>
              </a:graphicData>
            </a:graphic>
          </wp:inline>
        </w:drawing>
      </w:r>
    </w:p>
    <w:p w:rsidR="0016254A" w:rsidRDefault="0016254A" w:rsidP="0016254A">
      <w:pPr>
        <w:widowControl w:val="0"/>
        <w:jc w:val="both"/>
        <w:rPr>
          <w:rFonts w:ascii="Times New Roman" w:hAnsi="Times New Roman" w:cs="Times New Roman"/>
          <w:color w:val="000000"/>
          <w:sz w:val="24"/>
          <w:szCs w:val="24"/>
        </w:rPr>
      </w:pPr>
      <w:r w:rsidRPr="00DF128A">
        <w:rPr>
          <w:rFonts w:ascii="Times New Roman" w:hAnsi="Times New Roman" w:cs="Times New Roman"/>
          <w:b/>
          <w:bCs/>
          <w:color w:val="000000"/>
          <w:sz w:val="24"/>
          <w:szCs w:val="24"/>
        </w:rPr>
        <w:t xml:space="preserve">Obr. </w:t>
      </w:r>
      <w:r>
        <w:rPr>
          <w:rFonts w:ascii="Times New Roman" w:hAnsi="Times New Roman" w:cs="Times New Roman"/>
          <w:b/>
          <w:bCs/>
          <w:color w:val="000000"/>
          <w:sz w:val="24"/>
          <w:szCs w:val="24"/>
        </w:rPr>
        <w:t>2:</w:t>
      </w:r>
      <w:r w:rsidRPr="00DF128A">
        <w:rPr>
          <w:rFonts w:ascii="Times New Roman" w:hAnsi="Times New Roman" w:cs="Times New Roman"/>
          <w:color w:val="000000"/>
          <w:sz w:val="24"/>
          <w:szCs w:val="24"/>
        </w:rPr>
        <w:t xml:space="preserve"> </w:t>
      </w:r>
      <w:r>
        <w:rPr>
          <w:rFonts w:ascii="Times New Roman" w:hAnsi="Times New Roman" w:cs="Times New Roman"/>
          <w:color w:val="000000"/>
          <w:sz w:val="24"/>
          <w:szCs w:val="24"/>
        </w:rPr>
        <w:t>Struktura a počet dodavatelů ŠKODA AUTO.</w:t>
      </w:r>
    </w:p>
    <w:p w:rsidR="0016254A" w:rsidRDefault="0016254A" w:rsidP="0016254A">
      <w:pPr>
        <w:widowControl w:val="0"/>
        <w:jc w:val="both"/>
        <w:rPr>
          <w:rFonts w:ascii="Times New Roman" w:hAnsi="Times New Roman" w:cs="Times New Roman"/>
          <w:bCs/>
          <w:i/>
          <w:color w:val="000000"/>
          <w:sz w:val="20"/>
          <w:szCs w:val="20"/>
        </w:rPr>
      </w:pPr>
      <w:r w:rsidRPr="00677209">
        <w:rPr>
          <w:rFonts w:ascii="Times New Roman" w:hAnsi="Times New Roman" w:cs="Times New Roman"/>
          <w:i/>
          <w:color w:val="000000"/>
          <w:sz w:val="20"/>
          <w:szCs w:val="20"/>
        </w:rPr>
        <w:t xml:space="preserve">Zdroj: </w:t>
      </w:r>
      <w:r w:rsidRPr="00677209">
        <w:rPr>
          <w:rFonts w:ascii="Times New Roman" w:hAnsi="Times New Roman" w:cs="Times New Roman"/>
          <w:bCs/>
          <w:i/>
          <w:color w:val="000000"/>
          <w:sz w:val="20"/>
          <w:szCs w:val="20"/>
        </w:rPr>
        <w:t>Škoda Auto výroční zpráva 2000</w:t>
      </w:r>
    </w:p>
    <w:p w:rsidR="0016254A" w:rsidRPr="00677209" w:rsidRDefault="0016254A" w:rsidP="0016254A">
      <w:pPr>
        <w:widowControl w:val="0"/>
        <w:jc w:val="both"/>
        <w:rPr>
          <w:rFonts w:ascii="Times New Roman" w:hAnsi="Times New Roman" w:cs="Times New Roman"/>
          <w:i/>
          <w:color w:val="000000"/>
          <w:sz w:val="20"/>
          <w:szCs w:val="20"/>
        </w:rPr>
      </w:pPr>
    </w:p>
    <w:p w:rsidR="0016254A" w:rsidRDefault="0016254A" w:rsidP="00F1337F">
      <w:pPr>
        <w:pStyle w:val="Normlnweb"/>
        <w:widowControl w:val="0"/>
        <w:spacing w:before="0" w:beforeAutospacing="0" w:after="0" w:afterAutospacing="0" w:line="276" w:lineRule="auto"/>
        <w:ind w:firstLine="709"/>
        <w:jc w:val="both"/>
      </w:pPr>
      <w:r>
        <w:t xml:space="preserve">V roce 2003 se v Indickém městě </w:t>
      </w:r>
      <w:r w:rsidRPr="00DA0DD5">
        <w:t>Aurangabad</w:t>
      </w:r>
      <w:r>
        <w:t xml:space="preserve"> v nové hale začal montovat model Octavia z širšího stavu rozložení a zároveň se zde začal tvořit okruh dodavatelů některých dílů, které nebyly expedovány z Evropy (Škoda Auto výroční zpráva 2003: s. 32). Dodavatelská síť v Indii měla v roce 2004 už 33 subjektů (Škoda Auto výroční zpráva 2004: s. 35). Rozvoj značky byl rovněž směřován na trhy ve Východní Evropě. P</w:t>
      </w:r>
      <w:r w:rsidRPr="00A62820">
        <w:t xml:space="preserve">ůsobnost v rámci koncernu </w:t>
      </w:r>
      <w:r>
        <w:t>se rozšířila</w:t>
      </w:r>
      <w:r w:rsidRPr="00A62820">
        <w:t xml:space="preserve"> na Ukrajinu a do</w:t>
      </w:r>
      <w:r>
        <w:t xml:space="preserve"> </w:t>
      </w:r>
      <w:r w:rsidRPr="00A62820">
        <w:t>pobaltských států Litva, Lotyšsko a Estonsko</w:t>
      </w:r>
      <w:r>
        <w:t xml:space="preserve"> (Škoda Auto výroční zpráva 2004: s 33)</w:t>
      </w:r>
      <w:r w:rsidRPr="00A62820">
        <w:t>.</w:t>
      </w:r>
    </w:p>
    <w:p w:rsidR="0016254A" w:rsidRDefault="0016254A" w:rsidP="00F1337F">
      <w:pPr>
        <w:pStyle w:val="Normlnweb"/>
        <w:widowControl w:val="0"/>
        <w:spacing w:before="0" w:beforeAutospacing="0" w:after="0" w:afterAutospacing="0" w:line="276" w:lineRule="auto"/>
        <w:ind w:firstLine="709"/>
        <w:jc w:val="both"/>
      </w:pPr>
      <w:r>
        <w:t xml:space="preserve">Na lokální trh a podporu lokálních dodavatelů si však ve </w:t>
      </w:r>
      <w:r w:rsidRPr="00F1337F">
        <w:t>Škodovce</w:t>
      </w:r>
      <w:r>
        <w:t xml:space="preserve"> potrpí a i když rok co rok mírně klesá jejich objem na celkovém nákupu dílů, zdůrazňuje společnost nastavený směr podpory lokálního trhu. Je to zřejmé např. z vyjádření „</w:t>
      </w:r>
      <w:r w:rsidRPr="00F1337F">
        <w:t>Význam lokálních dodavatelů je zvýrazněn jak jejich podílem na dodávkách (takřka polovinu obratu dodává 20 největších dodavatelů, z nichž je 18 z České republiky), tak i logistickou dostupností: 15 z nich dodává z Mladé Boleslavi a okolí“</w:t>
      </w:r>
      <w:r>
        <w:t xml:space="preserve"> (Škoda Auto výroční zpráva 2004: s 33)</w:t>
      </w:r>
      <w:r w:rsidRPr="00A62820">
        <w:t>.</w:t>
      </w:r>
      <w:r>
        <w:t xml:space="preserve"> Počet dodavatelů ale každým rokem stoupá (viz Obr. 3), většina jich je ze zahraničí, protože se podílejí na podpoře výrobních závodů např. v Indii, Ukrajině, Kazachstánu či Bosně a Hercegovině (viz. Obr. 4).</w:t>
      </w:r>
    </w:p>
    <w:p w:rsidR="0016254A" w:rsidRDefault="0016254A" w:rsidP="0016254A">
      <w:pPr>
        <w:widowControl w:val="0"/>
        <w:jc w:val="both"/>
        <w:rPr>
          <w:rFonts w:ascii="Times New Roman" w:hAnsi="Times New Roman" w:cs="Times New Roman"/>
          <w:sz w:val="24"/>
          <w:szCs w:val="24"/>
        </w:rPr>
      </w:pPr>
    </w:p>
    <w:p w:rsidR="0016254A" w:rsidRDefault="0016254A" w:rsidP="0016254A">
      <w:pPr>
        <w:widowControl w:val="0"/>
        <w:jc w:val="both"/>
        <w:rPr>
          <w:rFonts w:ascii="Times New Roman" w:hAnsi="Times New Roman" w:cs="Times New Roman"/>
          <w:color w:val="000000"/>
          <w:sz w:val="24"/>
          <w:szCs w:val="24"/>
        </w:rPr>
      </w:pPr>
      <w:r w:rsidRPr="00DF128A">
        <w:rPr>
          <w:rFonts w:ascii="Times New Roman" w:hAnsi="Times New Roman" w:cs="Times New Roman"/>
          <w:b/>
          <w:bCs/>
          <w:color w:val="000000"/>
          <w:sz w:val="24"/>
          <w:szCs w:val="24"/>
        </w:rPr>
        <w:lastRenderedPageBreak/>
        <w:t xml:space="preserve">Obr. </w:t>
      </w:r>
      <w:r>
        <w:rPr>
          <w:rFonts w:ascii="Times New Roman" w:hAnsi="Times New Roman" w:cs="Times New Roman"/>
          <w:b/>
          <w:bCs/>
          <w:color w:val="000000"/>
          <w:sz w:val="24"/>
          <w:szCs w:val="24"/>
        </w:rPr>
        <w:t>3:</w:t>
      </w:r>
      <w:r w:rsidRPr="00DF128A">
        <w:rPr>
          <w:rFonts w:ascii="Times New Roman" w:hAnsi="Times New Roman" w:cs="Times New Roman"/>
          <w:color w:val="000000"/>
          <w:sz w:val="24"/>
          <w:szCs w:val="24"/>
        </w:rPr>
        <w:t xml:space="preserve"> </w:t>
      </w:r>
      <w:r>
        <w:rPr>
          <w:rFonts w:ascii="Times New Roman" w:hAnsi="Times New Roman" w:cs="Times New Roman"/>
          <w:color w:val="000000"/>
          <w:sz w:val="24"/>
          <w:szCs w:val="24"/>
        </w:rPr>
        <w:t>Počet dodavatelů a objem nákupu ŠKODA AUTO.</w:t>
      </w:r>
    </w:p>
    <w:p w:rsidR="0016254A" w:rsidRPr="00677209" w:rsidRDefault="00F1337F" w:rsidP="0016254A">
      <w:pPr>
        <w:widowControl w:val="0"/>
        <w:jc w:val="both"/>
        <w:rPr>
          <w:rFonts w:ascii="Times New Roman" w:hAnsi="Times New Roman" w:cs="Times New Roman"/>
          <w:i/>
          <w:color w:val="000000"/>
          <w:sz w:val="20"/>
          <w:szCs w:val="20"/>
        </w:rPr>
      </w:pPr>
      <w:r>
        <w:rPr>
          <w:rFonts w:ascii="Times New Roman" w:hAnsi="Times New Roman" w:cs="Times New Roman"/>
          <w:noProof/>
          <w:sz w:val="24"/>
          <w:szCs w:val="24"/>
          <w:lang w:eastAsia="cs-CZ"/>
        </w:rPr>
        <w:drawing>
          <wp:anchor distT="0" distB="0" distL="114300" distR="114300" simplePos="0" relativeHeight="251667456" behindDoc="0" locked="0" layoutInCell="1" allowOverlap="1" wp14:anchorId="6F0D9F1B" wp14:editId="789DB4B5">
            <wp:simplePos x="0" y="0"/>
            <wp:positionH relativeFrom="column">
              <wp:posOffset>-33020</wp:posOffset>
            </wp:positionH>
            <wp:positionV relativeFrom="paragraph">
              <wp:posOffset>292100</wp:posOffset>
            </wp:positionV>
            <wp:extent cx="5762625" cy="4791075"/>
            <wp:effectExtent l="0" t="0" r="9525" b="9525"/>
            <wp:wrapSquare wrapText="bothSides"/>
            <wp:docPr id="44"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srcRect/>
                    <a:stretch>
                      <a:fillRect/>
                    </a:stretch>
                  </pic:blipFill>
                  <pic:spPr bwMode="auto">
                    <a:xfrm>
                      <a:off x="0" y="0"/>
                      <a:ext cx="5762625" cy="47910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cs-CZ"/>
        </w:rPr>
        <w:drawing>
          <wp:anchor distT="0" distB="0" distL="114300" distR="114300" simplePos="0" relativeHeight="251666432" behindDoc="0" locked="0" layoutInCell="1" allowOverlap="1" wp14:anchorId="552A8527" wp14:editId="5B431DAE">
            <wp:simplePos x="0" y="0"/>
            <wp:positionH relativeFrom="column">
              <wp:posOffset>52705</wp:posOffset>
            </wp:positionH>
            <wp:positionV relativeFrom="paragraph">
              <wp:posOffset>1176655</wp:posOffset>
            </wp:positionV>
            <wp:extent cx="5543550" cy="2199005"/>
            <wp:effectExtent l="0" t="0" r="0" b="0"/>
            <wp:wrapSquare wrapText="bothSides"/>
            <wp:docPr id="43"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5543550" cy="2199005"/>
                    </a:xfrm>
                    <a:prstGeom prst="rect">
                      <a:avLst/>
                    </a:prstGeom>
                    <a:noFill/>
                    <a:ln w="9525">
                      <a:noFill/>
                      <a:miter lim="800000"/>
                      <a:headEnd/>
                      <a:tailEnd/>
                    </a:ln>
                  </pic:spPr>
                </pic:pic>
              </a:graphicData>
            </a:graphic>
          </wp:anchor>
        </w:drawing>
      </w:r>
      <w:r w:rsidR="0016254A" w:rsidRPr="00677209">
        <w:rPr>
          <w:rFonts w:ascii="Times New Roman" w:hAnsi="Times New Roman" w:cs="Times New Roman"/>
          <w:i/>
          <w:color w:val="000000"/>
          <w:sz w:val="20"/>
          <w:szCs w:val="20"/>
        </w:rPr>
        <w:t xml:space="preserve">Zdroj: </w:t>
      </w:r>
      <w:r w:rsidR="0016254A">
        <w:rPr>
          <w:rFonts w:ascii="Times New Roman" w:hAnsi="Times New Roman" w:cs="Times New Roman"/>
          <w:bCs/>
          <w:i/>
          <w:color w:val="000000"/>
          <w:sz w:val="20"/>
          <w:szCs w:val="20"/>
        </w:rPr>
        <w:t>Škoda Auto výroční zpráva 2006</w:t>
      </w:r>
    </w:p>
    <w:p w:rsidR="0016254A" w:rsidRDefault="0016254A" w:rsidP="0016254A">
      <w:pPr>
        <w:widowControl w:val="0"/>
        <w:ind w:firstLine="709"/>
        <w:jc w:val="both"/>
        <w:rPr>
          <w:rFonts w:ascii="Times New Roman" w:hAnsi="Times New Roman" w:cs="Times New Roman"/>
          <w:sz w:val="24"/>
          <w:szCs w:val="24"/>
        </w:rPr>
      </w:pPr>
    </w:p>
    <w:p w:rsidR="0016254A" w:rsidRDefault="0016254A" w:rsidP="0016254A">
      <w:pPr>
        <w:widowControl w:val="0"/>
        <w:jc w:val="both"/>
        <w:rPr>
          <w:rFonts w:ascii="Times New Roman" w:hAnsi="Times New Roman" w:cs="Times New Roman"/>
          <w:color w:val="000000"/>
          <w:sz w:val="24"/>
          <w:szCs w:val="24"/>
        </w:rPr>
      </w:pPr>
      <w:r w:rsidRPr="00DF128A">
        <w:rPr>
          <w:rFonts w:ascii="Times New Roman" w:hAnsi="Times New Roman" w:cs="Times New Roman"/>
          <w:b/>
          <w:bCs/>
          <w:color w:val="000000"/>
          <w:sz w:val="24"/>
          <w:szCs w:val="24"/>
        </w:rPr>
        <w:t xml:space="preserve">Obr. </w:t>
      </w:r>
      <w:r>
        <w:rPr>
          <w:rFonts w:ascii="Times New Roman" w:hAnsi="Times New Roman" w:cs="Times New Roman"/>
          <w:b/>
          <w:bCs/>
          <w:color w:val="000000"/>
          <w:sz w:val="24"/>
          <w:szCs w:val="24"/>
        </w:rPr>
        <w:t>4:</w:t>
      </w:r>
      <w:r w:rsidRPr="00DF128A">
        <w:rPr>
          <w:rFonts w:ascii="Times New Roman" w:hAnsi="Times New Roman" w:cs="Times New Roman"/>
          <w:color w:val="000000"/>
          <w:sz w:val="24"/>
          <w:szCs w:val="24"/>
        </w:rPr>
        <w:t xml:space="preserve"> </w:t>
      </w:r>
      <w:r>
        <w:rPr>
          <w:rFonts w:ascii="Times New Roman" w:hAnsi="Times New Roman" w:cs="Times New Roman"/>
          <w:color w:val="000000"/>
          <w:sz w:val="24"/>
          <w:szCs w:val="24"/>
        </w:rPr>
        <w:t>Mapa závodů ŠKODA AUTO.</w:t>
      </w:r>
    </w:p>
    <w:p w:rsidR="0016254A" w:rsidRPr="00677209" w:rsidRDefault="0016254A" w:rsidP="0016254A">
      <w:pPr>
        <w:widowControl w:val="0"/>
        <w:jc w:val="both"/>
        <w:rPr>
          <w:rFonts w:ascii="Times New Roman" w:hAnsi="Times New Roman" w:cs="Times New Roman"/>
          <w:i/>
          <w:color w:val="000000"/>
          <w:sz w:val="20"/>
          <w:szCs w:val="20"/>
        </w:rPr>
      </w:pPr>
      <w:r w:rsidRPr="00677209">
        <w:rPr>
          <w:rFonts w:ascii="Times New Roman" w:hAnsi="Times New Roman" w:cs="Times New Roman"/>
          <w:i/>
          <w:color w:val="000000"/>
          <w:sz w:val="20"/>
          <w:szCs w:val="20"/>
        </w:rPr>
        <w:t xml:space="preserve">Zdroj: </w:t>
      </w:r>
      <w:r>
        <w:rPr>
          <w:rFonts w:ascii="Times New Roman" w:hAnsi="Times New Roman" w:cs="Times New Roman"/>
          <w:bCs/>
          <w:i/>
          <w:color w:val="000000"/>
          <w:sz w:val="20"/>
          <w:szCs w:val="20"/>
        </w:rPr>
        <w:t>Škoda Auto výroční zpráva 2006</w:t>
      </w:r>
    </w:p>
    <w:p w:rsidR="0016254A" w:rsidRDefault="0016254A" w:rsidP="0016254A">
      <w:pPr>
        <w:widowControl w:val="0"/>
        <w:ind w:firstLine="709"/>
        <w:jc w:val="both"/>
        <w:rPr>
          <w:rFonts w:ascii="Times New Roman" w:hAnsi="Times New Roman" w:cs="Times New Roman"/>
          <w:sz w:val="24"/>
          <w:szCs w:val="24"/>
        </w:rPr>
      </w:pPr>
    </w:p>
    <w:p w:rsidR="0016254A" w:rsidRDefault="0016254A" w:rsidP="0016254A">
      <w:pPr>
        <w:widowControl w:val="0"/>
        <w:ind w:firstLine="709"/>
        <w:jc w:val="both"/>
        <w:rPr>
          <w:rFonts w:ascii="Times New Roman" w:hAnsi="Times New Roman" w:cs="Times New Roman"/>
          <w:sz w:val="24"/>
          <w:szCs w:val="24"/>
        </w:rPr>
      </w:pPr>
    </w:p>
    <w:p w:rsidR="0016254A" w:rsidRDefault="0016254A" w:rsidP="00F1337F">
      <w:pPr>
        <w:pStyle w:val="Normlnweb"/>
        <w:widowControl w:val="0"/>
        <w:spacing w:before="0" w:beforeAutospacing="0" w:after="0" w:afterAutospacing="0" w:line="276" w:lineRule="auto"/>
        <w:ind w:firstLine="709"/>
        <w:jc w:val="both"/>
      </w:pPr>
      <w:r>
        <w:t>Dodavatelská síť se v posledních letech rozrostla o další dodavatele ze zemí jako Indie, Rusko a Čína. Vše je samozřejmě vedeno v rámci úspor, což společnost dokládá i ve svých materiálech, „</w:t>
      </w:r>
      <w:r w:rsidRPr="00F1337F">
        <w:t>tento trend souvisí na jedné straně s výhodou přímého zásobování místních výrobních závodů, na straně druhé nabízí rovněž nákladové úspory pro dodávky do ostatních závodů skupiny</w:t>
      </w:r>
      <w:r>
        <w:t>“ (Škoda Auto výroční zpráva 2007: s 48)</w:t>
      </w:r>
      <w:r w:rsidRPr="001233E9">
        <w:t>.</w:t>
      </w:r>
      <w:r>
        <w:t xml:space="preserve"> Jako už bylo výše zmíněno, podíl tuzemských dodavatelů logicky klesá, avšak zůstává nad poloviční (61% pro rok 2007). </w:t>
      </w:r>
      <w:r w:rsidRPr="0019300C">
        <w:t>S téměř čtvrtinovým podílem na objemu</w:t>
      </w:r>
      <w:r>
        <w:t xml:space="preserve"> </w:t>
      </w:r>
      <w:r w:rsidRPr="0019300C">
        <w:t>výrobního nákupu byly důležitými dodavateli rovněž</w:t>
      </w:r>
      <w:r>
        <w:t xml:space="preserve"> </w:t>
      </w:r>
      <w:r w:rsidRPr="0019300C">
        <w:t>německé společnosti.</w:t>
      </w:r>
      <w:r>
        <w:t xml:space="preserve"> </w:t>
      </w:r>
      <w:r w:rsidRPr="0019300C">
        <w:t>Na výrobních dodávkách se podílelo celkem</w:t>
      </w:r>
      <w:r>
        <w:t xml:space="preserve"> </w:t>
      </w:r>
      <w:r w:rsidRPr="0019300C">
        <w:t>1 322 dodavatelů (v roce 2006: 1 277), z toho bylo</w:t>
      </w:r>
      <w:r>
        <w:t xml:space="preserve"> </w:t>
      </w:r>
      <w:r w:rsidRPr="0019300C">
        <w:t>265 českých společností (20 %), přičemž 16 z</w:t>
      </w:r>
      <w:r>
        <w:t> </w:t>
      </w:r>
      <w:r w:rsidRPr="0019300C">
        <w:t>nich</w:t>
      </w:r>
      <w:r>
        <w:t xml:space="preserve"> </w:t>
      </w:r>
      <w:r w:rsidRPr="0019300C">
        <w:t>z bezprostředního okolí Mladé Boleslavi.</w:t>
      </w:r>
      <w:r>
        <w:t xml:space="preserve"> </w:t>
      </w:r>
      <w:r w:rsidRPr="0019300C">
        <w:t>K nejsilnějšímu dodavatelskému regionu, měřeno</w:t>
      </w:r>
      <w:r>
        <w:t xml:space="preserve"> </w:t>
      </w:r>
      <w:r w:rsidRPr="0019300C">
        <w:t>podle sídla společnosti, patřila s</w:t>
      </w:r>
      <w:r>
        <w:t> </w:t>
      </w:r>
      <w:r w:rsidRPr="0019300C">
        <w:t>počtem</w:t>
      </w:r>
      <w:r>
        <w:t xml:space="preserve"> </w:t>
      </w:r>
      <w:r w:rsidRPr="0019300C">
        <w:t>997 partnerů západní Evropa (72 %)</w:t>
      </w:r>
      <w:r>
        <w:t xml:space="preserve"> (Škoda Auto výroční zpráva 2007: s 49)</w:t>
      </w:r>
      <w:r w:rsidRPr="0019300C">
        <w:t>.</w:t>
      </w:r>
      <w:r>
        <w:t xml:space="preserve"> Jak tedy vyplývá, objemu dodávek Česká republika vévodí, počtem dodávajících subjektů je ve výrazné menšině (viz Obr. 5).</w:t>
      </w:r>
    </w:p>
    <w:p w:rsidR="0016254A" w:rsidRDefault="0016254A" w:rsidP="0016254A">
      <w:pPr>
        <w:widowControl w:val="0"/>
        <w:ind w:firstLine="709"/>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anchor distT="0" distB="0" distL="114300" distR="114300" simplePos="0" relativeHeight="251668480" behindDoc="0" locked="0" layoutInCell="1" allowOverlap="1" wp14:anchorId="39DE55E6" wp14:editId="219232D8">
            <wp:simplePos x="0" y="0"/>
            <wp:positionH relativeFrom="column">
              <wp:posOffset>71755</wp:posOffset>
            </wp:positionH>
            <wp:positionV relativeFrom="paragraph">
              <wp:posOffset>3175</wp:posOffset>
            </wp:positionV>
            <wp:extent cx="5591175" cy="3276600"/>
            <wp:effectExtent l="19050" t="0" r="9525" b="0"/>
            <wp:wrapSquare wrapText="bothSides"/>
            <wp:docPr id="45"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srcRect/>
                    <a:stretch>
                      <a:fillRect/>
                    </a:stretch>
                  </pic:blipFill>
                  <pic:spPr bwMode="auto">
                    <a:xfrm>
                      <a:off x="0" y="0"/>
                      <a:ext cx="5591175" cy="3276600"/>
                    </a:xfrm>
                    <a:prstGeom prst="rect">
                      <a:avLst/>
                    </a:prstGeom>
                    <a:noFill/>
                    <a:ln w="9525">
                      <a:noFill/>
                      <a:miter lim="800000"/>
                      <a:headEnd/>
                      <a:tailEnd/>
                    </a:ln>
                  </pic:spPr>
                </pic:pic>
              </a:graphicData>
            </a:graphic>
          </wp:anchor>
        </w:drawing>
      </w:r>
    </w:p>
    <w:p w:rsidR="0016254A" w:rsidRDefault="0016254A" w:rsidP="0016254A">
      <w:pPr>
        <w:widowControl w:val="0"/>
        <w:jc w:val="both"/>
        <w:rPr>
          <w:rFonts w:ascii="Times New Roman" w:hAnsi="Times New Roman" w:cs="Times New Roman"/>
          <w:color w:val="000000"/>
          <w:sz w:val="24"/>
          <w:szCs w:val="24"/>
        </w:rPr>
      </w:pPr>
      <w:r w:rsidRPr="00DF128A">
        <w:rPr>
          <w:rFonts w:ascii="Times New Roman" w:hAnsi="Times New Roman" w:cs="Times New Roman"/>
          <w:b/>
          <w:bCs/>
          <w:color w:val="000000"/>
          <w:sz w:val="24"/>
          <w:szCs w:val="24"/>
        </w:rPr>
        <w:t xml:space="preserve">Obr. </w:t>
      </w:r>
      <w:r>
        <w:rPr>
          <w:rFonts w:ascii="Times New Roman" w:hAnsi="Times New Roman" w:cs="Times New Roman"/>
          <w:b/>
          <w:bCs/>
          <w:color w:val="000000"/>
          <w:sz w:val="24"/>
          <w:szCs w:val="24"/>
        </w:rPr>
        <w:t>5:</w:t>
      </w:r>
      <w:r w:rsidRPr="00DF128A">
        <w:rPr>
          <w:rFonts w:ascii="Times New Roman" w:hAnsi="Times New Roman" w:cs="Times New Roman"/>
          <w:color w:val="000000"/>
          <w:sz w:val="24"/>
          <w:szCs w:val="24"/>
        </w:rPr>
        <w:t xml:space="preserve"> </w:t>
      </w:r>
      <w:r>
        <w:rPr>
          <w:rFonts w:ascii="Times New Roman" w:hAnsi="Times New Roman" w:cs="Times New Roman"/>
          <w:color w:val="000000"/>
          <w:sz w:val="24"/>
          <w:szCs w:val="24"/>
        </w:rPr>
        <w:t>Regionální rozdělení dodavatelů a objemu dodávek ŠKODA AUTO.</w:t>
      </w:r>
    </w:p>
    <w:p w:rsidR="0016254A" w:rsidRDefault="0016254A" w:rsidP="0016254A">
      <w:pPr>
        <w:widowControl w:val="0"/>
        <w:jc w:val="both"/>
        <w:rPr>
          <w:rFonts w:ascii="Times New Roman" w:hAnsi="Times New Roman" w:cs="Times New Roman"/>
          <w:bCs/>
          <w:i/>
          <w:color w:val="000000"/>
          <w:sz w:val="20"/>
          <w:szCs w:val="20"/>
        </w:rPr>
      </w:pPr>
      <w:r w:rsidRPr="00677209">
        <w:rPr>
          <w:rFonts w:ascii="Times New Roman" w:hAnsi="Times New Roman" w:cs="Times New Roman"/>
          <w:i/>
          <w:color w:val="000000"/>
          <w:sz w:val="20"/>
          <w:szCs w:val="20"/>
        </w:rPr>
        <w:t xml:space="preserve">Zdroj: </w:t>
      </w:r>
      <w:r>
        <w:rPr>
          <w:rFonts w:ascii="Times New Roman" w:hAnsi="Times New Roman" w:cs="Times New Roman"/>
          <w:bCs/>
          <w:i/>
          <w:color w:val="000000"/>
          <w:sz w:val="20"/>
          <w:szCs w:val="20"/>
        </w:rPr>
        <w:t>Škoda Auto výroční zpráva 2007</w:t>
      </w:r>
    </w:p>
    <w:p w:rsidR="00F1337F" w:rsidRPr="00677209" w:rsidRDefault="00F1337F" w:rsidP="0016254A">
      <w:pPr>
        <w:widowControl w:val="0"/>
        <w:jc w:val="both"/>
        <w:rPr>
          <w:rFonts w:ascii="Times New Roman" w:hAnsi="Times New Roman" w:cs="Times New Roman"/>
          <w:i/>
          <w:color w:val="000000"/>
          <w:sz w:val="20"/>
          <w:szCs w:val="20"/>
        </w:rPr>
      </w:pPr>
    </w:p>
    <w:p w:rsidR="0016254A" w:rsidRDefault="0016254A" w:rsidP="00F1337F">
      <w:pPr>
        <w:pStyle w:val="Normlnweb"/>
        <w:widowControl w:val="0"/>
        <w:spacing w:before="0" w:beforeAutospacing="0" w:after="0" w:afterAutospacing="0" w:line="276" w:lineRule="auto"/>
        <w:ind w:firstLine="709"/>
        <w:jc w:val="both"/>
      </w:pPr>
      <w:r>
        <w:t>Velkým mezníkem je zajisté to, že v roce 2007 proběhlo oficiální uvedení lokálně vyráběných vozů v Číně (Shangai), což potvrzuje fakt, že hned první rok se v Číně prodalo přes 27 tis. vozidel (Škoda Auto výroční zpráva 2007: s 59). Je to tak první výroba, která probíhá kompletně jen na základě licenčních smluv. V roce 2008 bylo naopak ukončeno montování částečně smontovaných vozů v Sarajevu, trh se začal zásobovat kompletně dovezenými vozidly z Čech popř. Slovenska, kde od roku 2008 běžela výroba v továrně Volkswagen v Bratislavě (Škoda Auto výroční zpráva 2008: s 58), ale v roce 2010 byla zastavena (Škoda Auto výroční zpráva 2010: s 17).</w:t>
      </w:r>
    </w:p>
    <w:p w:rsidR="0016254A" w:rsidRDefault="0016254A" w:rsidP="0016254A">
      <w:pPr>
        <w:widowControl w:val="0"/>
        <w:ind w:firstLine="709"/>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14:anchorId="1907C216" wp14:editId="59AD9677">
            <wp:extent cx="3641725" cy="3543300"/>
            <wp:effectExtent l="19050" t="0" r="0" b="0"/>
            <wp:docPr id="4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cstate="print"/>
                    <a:srcRect/>
                    <a:stretch>
                      <a:fillRect/>
                    </a:stretch>
                  </pic:blipFill>
                  <pic:spPr bwMode="auto">
                    <a:xfrm>
                      <a:off x="0" y="0"/>
                      <a:ext cx="3641725" cy="3543300"/>
                    </a:xfrm>
                    <a:prstGeom prst="rect">
                      <a:avLst/>
                    </a:prstGeom>
                    <a:noFill/>
                    <a:ln w="9525">
                      <a:noFill/>
                      <a:miter lim="800000"/>
                      <a:headEnd/>
                      <a:tailEnd/>
                    </a:ln>
                  </pic:spPr>
                </pic:pic>
              </a:graphicData>
            </a:graphic>
          </wp:inline>
        </w:drawing>
      </w:r>
    </w:p>
    <w:p w:rsidR="0016254A" w:rsidRDefault="0016254A" w:rsidP="0016254A">
      <w:pPr>
        <w:widowControl w:val="0"/>
        <w:jc w:val="both"/>
        <w:rPr>
          <w:rFonts w:ascii="Times New Roman" w:hAnsi="Times New Roman" w:cs="Times New Roman"/>
          <w:color w:val="000000"/>
          <w:sz w:val="24"/>
          <w:szCs w:val="24"/>
        </w:rPr>
      </w:pPr>
      <w:r w:rsidRPr="00DF128A">
        <w:rPr>
          <w:rFonts w:ascii="Times New Roman" w:hAnsi="Times New Roman" w:cs="Times New Roman"/>
          <w:b/>
          <w:bCs/>
          <w:color w:val="000000"/>
          <w:sz w:val="24"/>
          <w:szCs w:val="24"/>
        </w:rPr>
        <w:t xml:space="preserve">Obr. </w:t>
      </w:r>
      <w:r>
        <w:rPr>
          <w:rFonts w:ascii="Times New Roman" w:hAnsi="Times New Roman" w:cs="Times New Roman"/>
          <w:b/>
          <w:bCs/>
          <w:color w:val="000000"/>
          <w:sz w:val="24"/>
          <w:szCs w:val="24"/>
        </w:rPr>
        <w:t>6:</w:t>
      </w:r>
      <w:r>
        <w:rPr>
          <w:rFonts w:ascii="Times New Roman" w:hAnsi="Times New Roman" w:cs="Times New Roman"/>
          <w:color w:val="000000"/>
          <w:sz w:val="24"/>
          <w:szCs w:val="24"/>
        </w:rPr>
        <w:t xml:space="preserve"> Působnost Škody Auto v Indii.</w:t>
      </w:r>
    </w:p>
    <w:p w:rsidR="0016254A" w:rsidRDefault="0016254A" w:rsidP="0016254A">
      <w:pPr>
        <w:widowControl w:val="0"/>
        <w:jc w:val="both"/>
        <w:rPr>
          <w:rFonts w:ascii="Times New Roman" w:hAnsi="Times New Roman" w:cs="Times New Roman"/>
          <w:bCs/>
          <w:i/>
          <w:color w:val="000000"/>
          <w:sz w:val="20"/>
          <w:szCs w:val="20"/>
        </w:rPr>
      </w:pPr>
      <w:r w:rsidRPr="00677209">
        <w:rPr>
          <w:rFonts w:ascii="Times New Roman" w:hAnsi="Times New Roman" w:cs="Times New Roman"/>
          <w:i/>
          <w:color w:val="000000"/>
          <w:sz w:val="20"/>
          <w:szCs w:val="20"/>
        </w:rPr>
        <w:t xml:space="preserve">Zdroj: </w:t>
      </w:r>
      <w:r>
        <w:rPr>
          <w:rFonts w:ascii="Times New Roman" w:hAnsi="Times New Roman" w:cs="Times New Roman"/>
          <w:bCs/>
          <w:i/>
          <w:color w:val="000000"/>
          <w:sz w:val="20"/>
          <w:szCs w:val="20"/>
        </w:rPr>
        <w:t>Škoda Auto výroční zpráva 2010</w:t>
      </w:r>
    </w:p>
    <w:p w:rsidR="0016254A" w:rsidRPr="00677209" w:rsidRDefault="0016254A" w:rsidP="0016254A">
      <w:pPr>
        <w:widowControl w:val="0"/>
        <w:jc w:val="both"/>
        <w:rPr>
          <w:rFonts w:ascii="Times New Roman" w:hAnsi="Times New Roman" w:cs="Times New Roman"/>
          <w:i/>
          <w:color w:val="000000"/>
          <w:sz w:val="20"/>
          <w:szCs w:val="20"/>
        </w:rPr>
      </w:pPr>
    </w:p>
    <w:p w:rsidR="0016254A" w:rsidRPr="00F1337F" w:rsidRDefault="0016254A" w:rsidP="00F1337F">
      <w:pPr>
        <w:pStyle w:val="Normlnweb"/>
        <w:widowControl w:val="0"/>
        <w:spacing w:before="0" w:beforeAutospacing="0" w:after="0" w:afterAutospacing="0" w:line="276" w:lineRule="auto"/>
        <w:ind w:firstLine="709"/>
        <w:jc w:val="both"/>
      </w:pPr>
      <w:r w:rsidRPr="00F1337F">
        <w:t>Díky růstu Indického trhu, roste také trh s osobními automobily, na což reagovala  ŠKODA AUTO tím, že otevřela v Indii další výrobní závody. V roce 2010 zde sjelo z výrobních linek okolo 25 tis. aut. (Škoda Auto výroční zpráva 2010: s. 16) V jakém stavu jsou ovšem automobily do Indie expedovány, jestli tedy vůbec, zpráva neuvádí. Dalším rostoucím trhem je Rusko, kde Škoda Auto otvírá vlastní výrobní závod v Kaluze, kde se roku 2010 rozbíhá kompletní výroba vozů Octavia a Fabia (Škoda Auto výroční zpráva 2010: s. 17). S tímto růstem je spojen částečně i trh v České republice, protože významná část nářadí se vyrábí v mateřském závodě v Mladé Boleslavi (Škoda Auto výroční zpráva 2010: s. 19)</w:t>
      </w:r>
    </w:p>
    <w:p w:rsidR="0016254A" w:rsidRDefault="0016254A" w:rsidP="0016254A">
      <w:pPr>
        <w:widowControl w:val="0"/>
        <w:ind w:firstLine="708"/>
        <w:jc w:val="both"/>
        <w:rPr>
          <w:rFonts w:ascii="Times New Roman" w:hAnsi="Times New Roman" w:cs="Times New Roman"/>
          <w:iCs/>
          <w:color w:val="000000"/>
          <w:sz w:val="24"/>
          <w:szCs w:val="24"/>
        </w:rPr>
      </w:pPr>
    </w:p>
    <w:p w:rsidR="0016254A" w:rsidRDefault="0016254A" w:rsidP="0016254A">
      <w:pPr>
        <w:widowControl w:val="0"/>
        <w:jc w:val="both"/>
        <w:rPr>
          <w:rFonts w:ascii="Times New Roman" w:hAnsi="Times New Roman" w:cs="Times New Roman"/>
          <w:b/>
          <w:sz w:val="24"/>
          <w:szCs w:val="24"/>
        </w:rPr>
      </w:pPr>
      <w:r>
        <w:rPr>
          <w:rFonts w:ascii="Times New Roman" w:hAnsi="Times New Roman" w:cs="Times New Roman"/>
          <w:b/>
          <w:noProof/>
          <w:sz w:val="24"/>
          <w:szCs w:val="24"/>
          <w:lang w:eastAsia="cs-CZ"/>
        </w:rPr>
        <w:drawing>
          <wp:inline distT="0" distB="0" distL="0" distR="0" wp14:anchorId="73723037" wp14:editId="7EB097C7">
            <wp:extent cx="3448050" cy="1928338"/>
            <wp:effectExtent l="19050" t="0" r="0" b="0"/>
            <wp:docPr id="47"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srcRect t="24497"/>
                    <a:stretch>
                      <a:fillRect/>
                    </a:stretch>
                  </pic:blipFill>
                  <pic:spPr bwMode="auto">
                    <a:xfrm>
                      <a:off x="0" y="0"/>
                      <a:ext cx="3455650" cy="1932589"/>
                    </a:xfrm>
                    <a:prstGeom prst="rect">
                      <a:avLst/>
                    </a:prstGeom>
                    <a:noFill/>
                    <a:ln w="9525">
                      <a:noFill/>
                      <a:miter lim="800000"/>
                      <a:headEnd/>
                      <a:tailEnd/>
                    </a:ln>
                  </pic:spPr>
                </pic:pic>
              </a:graphicData>
            </a:graphic>
          </wp:inline>
        </w:drawing>
      </w:r>
    </w:p>
    <w:p w:rsidR="0016254A" w:rsidRDefault="0016254A" w:rsidP="0016254A">
      <w:pPr>
        <w:widowControl w:val="0"/>
        <w:jc w:val="both"/>
        <w:rPr>
          <w:rFonts w:ascii="Times New Roman" w:hAnsi="Times New Roman" w:cs="Times New Roman"/>
          <w:color w:val="000000"/>
          <w:sz w:val="24"/>
          <w:szCs w:val="24"/>
        </w:rPr>
      </w:pPr>
      <w:r w:rsidRPr="00DF128A">
        <w:rPr>
          <w:rFonts w:ascii="Times New Roman" w:hAnsi="Times New Roman" w:cs="Times New Roman"/>
          <w:b/>
          <w:bCs/>
          <w:color w:val="000000"/>
          <w:sz w:val="24"/>
          <w:szCs w:val="24"/>
        </w:rPr>
        <w:t xml:space="preserve">Obr. </w:t>
      </w:r>
      <w:r>
        <w:rPr>
          <w:rFonts w:ascii="Times New Roman" w:hAnsi="Times New Roman" w:cs="Times New Roman"/>
          <w:b/>
          <w:bCs/>
          <w:color w:val="000000"/>
          <w:sz w:val="24"/>
          <w:szCs w:val="24"/>
        </w:rPr>
        <w:t>7:</w:t>
      </w:r>
      <w:r>
        <w:rPr>
          <w:rFonts w:ascii="Times New Roman" w:hAnsi="Times New Roman" w:cs="Times New Roman"/>
          <w:color w:val="000000"/>
          <w:sz w:val="24"/>
          <w:szCs w:val="24"/>
        </w:rPr>
        <w:t xml:space="preserve"> Působnost Škody Auto v Rusku.</w:t>
      </w:r>
    </w:p>
    <w:p w:rsidR="0016254A" w:rsidRDefault="0016254A" w:rsidP="0016254A">
      <w:pPr>
        <w:widowControl w:val="0"/>
        <w:jc w:val="both"/>
        <w:rPr>
          <w:rFonts w:ascii="Times New Roman" w:hAnsi="Times New Roman" w:cs="Times New Roman"/>
          <w:bCs/>
          <w:i/>
          <w:color w:val="000000"/>
          <w:sz w:val="20"/>
          <w:szCs w:val="20"/>
        </w:rPr>
      </w:pPr>
      <w:r w:rsidRPr="00677209">
        <w:rPr>
          <w:rFonts w:ascii="Times New Roman" w:hAnsi="Times New Roman" w:cs="Times New Roman"/>
          <w:i/>
          <w:color w:val="000000"/>
          <w:sz w:val="20"/>
          <w:szCs w:val="20"/>
        </w:rPr>
        <w:t xml:space="preserve">Zdroj: </w:t>
      </w:r>
      <w:r>
        <w:rPr>
          <w:rFonts w:ascii="Times New Roman" w:hAnsi="Times New Roman" w:cs="Times New Roman"/>
          <w:bCs/>
          <w:i/>
          <w:color w:val="000000"/>
          <w:sz w:val="20"/>
          <w:szCs w:val="20"/>
        </w:rPr>
        <w:t>Škoda Auto výroční zpráva 2010</w:t>
      </w:r>
    </w:p>
    <w:p w:rsidR="0016254A" w:rsidRDefault="0016254A" w:rsidP="0016254A">
      <w:pPr>
        <w:widowControl w:val="0"/>
        <w:jc w:val="both"/>
        <w:rPr>
          <w:rFonts w:ascii="Times New Roman" w:hAnsi="Times New Roman" w:cs="Times New Roman"/>
          <w:bCs/>
          <w:i/>
          <w:color w:val="000000"/>
          <w:sz w:val="20"/>
          <w:szCs w:val="20"/>
        </w:rPr>
      </w:pPr>
    </w:p>
    <w:p w:rsidR="0016254A" w:rsidRPr="00F1337F" w:rsidRDefault="0016254A" w:rsidP="00F1337F">
      <w:pPr>
        <w:pStyle w:val="Normlnweb"/>
        <w:widowControl w:val="0"/>
        <w:spacing w:before="0" w:beforeAutospacing="0" w:after="0" w:afterAutospacing="0" w:line="276" w:lineRule="auto"/>
        <w:ind w:firstLine="709"/>
        <w:jc w:val="both"/>
      </w:pPr>
      <w:r w:rsidRPr="00F1337F">
        <w:t xml:space="preserve">V současnosti pro Škodu Auto dodává výrobní součástky 1 317 dodavatelů. 275 společností je z České republiky, 26 z okolí Mladé Boleslavi, zaujímají asi 55% (viz Obr. 8) objemu nákupu. Celkový objem nákupu byl 110,4 mld. Kč, což je o 13,6 mld. Kč více než </w:t>
      </w:r>
      <w:r w:rsidRPr="00F1337F">
        <w:lastRenderedPageBreak/>
        <w:t>v předchozím roce (2009: 96,8 mld. Kč) (</w:t>
      </w:r>
      <w:r>
        <w:t>Škoda Auto výroční zpráva 2010: s 78)</w:t>
      </w:r>
      <w:r w:rsidRPr="00F1337F">
        <w:t>. Mezi významné tuzemské dodavatele patří Brisk Tábor, FAB Rychnov nad Kněžnou, GE Industrial Brno, HELLA Autotechnik Nova Mohelnice, MANN + HUMMEL (CZ) Okříšky, MUBEA – HZP Prostějov, TPB Mladá Boleslav (Škoda a 10 nejlepších dodavatelů 2006), Agba v.s.a. Turnov, UNISPO Bezno, IMS Česká Třebová (</w:t>
      </w:r>
      <w:r w:rsidRPr="006A5C20">
        <w:t>Dodavatelé Škody Auto musí</w:t>
      </w:r>
      <w:r>
        <w:t>…)</w:t>
      </w:r>
      <w:r w:rsidRPr="00F1337F">
        <w:t>. Ze zahraničních jmenujme např. SOGEFI FILTRATION Slovinsko, FILTRAUTO Francie a FRAPE Behr Service Barcelona (Škoda a 10 nejlepších dodavatelů 2006)</w:t>
      </w:r>
    </w:p>
    <w:p w:rsidR="0016254A" w:rsidRDefault="0016254A" w:rsidP="0016254A">
      <w:pPr>
        <w:widowControl w:val="0"/>
        <w:jc w:val="both"/>
        <w:rPr>
          <w:rFonts w:ascii="Times New Roman" w:hAnsi="Times New Roman" w:cs="Times New Roman"/>
          <w:bCs/>
          <w:i/>
          <w:color w:val="000000"/>
          <w:sz w:val="20"/>
          <w:szCs w:val="20"/>
        </w:rPr>
      </w:pPr>
      <w:r w:rsidRPr="00437176">
        <w:rPr>
          <w:rFonts w:ascii="Times New Roman" w:hAnsi="Times New Roman" w:cs="Times New Roman"/>
          <w:bCs/>
          <w:i/>
          <w:noProof/>
          <w:color w:val="000000"/>
          <w:sz w:val="20"/>
          <w:szCs w:val="20"/>
          <w:lang w:eastAsia="cs-CZ"/>
        </w:rPr>
        <w:drawing>
          <wp:inline distT="0" distB="0" distL="0" distR="0" wp14:anchorId="57BB996A" wp14:editId="52F9558B">
            <wp:extent cx="2667000" cy="2400300"/>
            <wp:effectExtent l="19050" t="0" r="0" b="0"/>
            <wp:docPr id="48"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cstate="print"/>
                    <a:srcRect/>
                    <a:stretch>
                      <a:fillRect/>
                    </a:stretch>
                  </pic:blipFill>
                  <pic:spPr bwMode="auto">
                    <a:xfrm>
                      <a:off x="0" y="0"/>
                      <a:ext cx="2667000" cy="2400300"/>
                    </a:xfrm>
                    <a:prstGeom prst="rect">
                      <a:avLst/>
                    </a:prstGeom>
                    <a:noFill/>
                    <a:ln w="9525">
                      <a:noFill/>
                      <a:miter lim="800000"/>
                      <a:headEnd/>
                      <a:tailEnd/>
                    </a:ln>
                  </pic:spPr>
                </pic:pic>
              </a:graphicData>
            </a:graphic>
          </wp:inline>
        </w:drawing>
      </w:r>
    </w:p>
    <w:p w:rsidR="0016254A" w:rsidRDefault="0016254A" w:rsidP="0016254A">
      <w:pPr>
        <w:widowControl w:val="0"/>
        <w:jc w:val="both"/>
        <w:rPr>
          <w:rFonts w:ascii="Times New Roman" w:hAnsi="Times New Roman" w:cs="Times New Roman"/>
          <w:color w:val="000000"/>
          <w:sz w:val="24"/>
          <w:szCs w:val="24"/>
        </w:rPr>
      </w:pPr>
      <w:r w:rsidRPr="00DF128A">
        <w:rPr>
          <w:rFonts w:ascii="Times New Roman" w:hAnsi="Times New Roman" w:cs="Times New Roman"/>
          <w:b/>
          <w:bCs/>
          <w:color w:val="000000"/>
          <w:sz w:val="24"/>
          <w:szCs w:val="24"/>
        </w:rPr>
        <w:t xml:space="preserve">Obr. </w:t>
      </w:r>
      <w:r>
        <w:rPr>
          <w:rFonts w:ascii="Times New Roman" w:hAnsi="Times New Roman" w:cs="Times New Roman"/>
          <w:b/>
          <w:bCs/>
          <w:color w:val="000000"/>
          <w:sz w:val="24"/>
          <w:szCs w:val="24"/>
        </w:rPr>
        <w:t>8:</w:t>
      </w:r>
      <w:r>
        <w:rPr>
          <w:rFonts w:ascii="Times New Roman" w:hAnsi="Times New Roman" w:cs="Times New Roman"/>
          <w:color w:val="000000"/>
          <w:sz w:val="24"/>
          <w:szCs w:val="24"/>
        </w:rPr>
        <w:t xml:space="preserve"> Regionální rozdělení objemu výrobního nákupu v roce 2010</w:t>
      </w:r>
    </w:p>
    <w:p w:rsidR="0016254A" w:rsidRDefault="0016254A" w:rsidP="0016254A">
      <w:pPr>
        <w:widowControl w:val="0"/>
        <w:jc w:val="both"/>
        <w:rPr>
          <w:rFonts w:ascii="Times New Roman" w:hAnsi="Times New Roman" w:cs="Times New Roman"/>
          <w:bCs/>
          <w:i/>
          <w:color w:val="000000"/>
          <w:sz w:val="20"/>
          <w:szCs w:val="20"/>
        </w:rPr>
      </w:pPr>
      <w:r w:rsidRPr="00677209">
        <w:rPr>
          <w:rFonts w:ascii="Times New Roman" w:hAnsi="Times New Roman" w:cs="Times New Roman"/>
          <w:i/>
          <w:color w:val="000000"/>
          <w:sz w:val="20"/>
          <w:szCs w:val="20"/>
        </w:rPr>
        <w:t xml:space="preserve">Zdroj: </w:t>
      </w:r>
      <w:r>
        <w:rPr>
          <w:rFonts w:ascii="Times New Roman" w:hAnsi="Times New Roman" w:cs="Times New Roman"/>
          <w:bCs/>
          <w:i/>
          <w:color w:val="000000"/>
          <w:sz w:val="20"/>
          <w:szCs w:val="20"/>
        </w:rPr>
        <w:t>Škoda Auto výroční zpráva 2010</w:t>
      </w:r>
    </w:p>
    <w:p w:rsidR="0016254A" w:rsidRDefault="0016254A" w:rsidP="0016254A">
      <w:pPr>
        <w:widowControl w:val="0"/>
        <w:jc w:val="both"/>
        <w:rPr>
          <w:rFonts w:ascii="Times New Roman" w:hAnsi="Times New Roman" w:cs="Times New Roman"/>
          <w:b/>
          <w:sz w:val="24"/>
          <w:szCs w:val="24"/>
        </w:rPr>
      </w:pPr>
      <w:r>
        <w:rPr>
          <w:rFonts w:ascii="Times New Roman" w:hAnsi="Times New Roman" w:cs="Times New Roman"/>
          <w:b/>
          <w:sz w:val="24"/>
          <w:szCs w:val="24"/>
        </w:rPr>
        <w:tab/>
      </w:r>
    </w:p>
    <w:p w:rsidR="0016254A" w:rsidRPr="000A784A" w:rsidRDefault="0016254A" w:rsidP="00F1337F">
      <w:pPr>
        <w:pStyle w:val="Normlnweb"/>
        <w:widowControl w:val="0"/>
        <w:spacing w:before="0" w:beforeAutospacing="0" w:after="0" w:afterAutospacing="0" w:line="276" w:lineRule="auto"/>
        <w:ind w:firstLine="709"/>
        <w:jc w:val="both"/>
      </w:pPr>
      <w:r>
        <w:t xml:space="preserve">Celkově bere Škoda Auto výrobní díly od dodavatelů z 41 zemí Světa. Mezi zatím nezmiňované dodavatelské země, které sice nemají tak výrazné objemové zastoupení jako ČR a Německo, můžeme zmínit Rakousko, Belgii, Kanadu, Dánsko, Estonsko, Francii, Velkou Británii, Maďarsko, Itálii, Irsko, Nizozemí, Polsko, Portugalsko, Rumunsko, Švédsko, Turecko a USA (Interní materiál Škoda Auto). Celý tento výčet zemí pak lze dát do kontrastu </w:t>
      </w:r>
      <w:r w:rsidRPr="00143390">
        <w:t>například s informací, že 80% veškeré produkce ŠKODA AUTO putuje na zahraniční trhy (Moderní řízení skladu náhradních dílů ve společno</w:t>
      </w:r>
      <w:r>
        <w:t>s</w:t>
      </w:r>
      <w:r w:rsidRPr="00143390">
        <w:t>ti Škoda Auto).</w:t>
      </w:r>
      <w:r>
        <w:t xml:space="preserve"> </w:t>
      </w:r>
      <w:r w:rsidRPr="001D1AB4">
        <w:t xml:space="preserve"> </w:t>
      </w:r>
    </w:p>
    <w:p w:rsidR="0016254A" w:rsidRPr="00F1337F" w:rsidRDefault="0016254A" w:rsidP="00F1337F">
      <w:pPr>
        <w:pStyle w:val="Normlnweb"/>
        <w:widowControl w:val="0"/>
        <w:spacing w:before="0" w:beforeAutospacing="0" w:after="0" w:afterAutospacing="0" w:line="276" w:lineRule="auto"/>
        <w:ind w:firstLine="709"/>
        <w:jc w:val="both"/>
      </w:pPr>
    </w:p>
    <w:p w:rsidR="0016254A" w:rsidRDefault="0016254A" w:rsidP="0016254A">
      <w:pPr>
        <w:widowControl w:val="0"/>
        <w:jc w:val="both"/>
        <w:rPr>
          <w:rFonts w:ascii="Times New Roman" w:hAnsi="Times New Roman" w:cs="Times New Roman"/>
          <w:b/>
          <w:sz w:val="24"/>
          <w:szCs w:val="24"/>
        </w:rPr>
      </w:pPr>
      <w:r w:rsidRPr="00502039">
        <w:rPr>
          <w:rFonts w:ascii="Times New Roman" w:hAnsi="Times New Roman" w:cs="Times New Roman"/>
          <w:b/>
          <w:sz w:val="24"/>
          <w:szCs w:val="24"/>
        </w:rPr>
        <w:t>Expedice rozložených vozů</w:t>
      </w:r>
    </w:p>
    <w:p w:rsidR="0016254A" w:rsidRPr="00F1337F" w:rsidRDefault="0016254A" w:rsidP="00F1337F">
      <w:pPr>
        <w:pStyle w:val="Normlnweb"/>
        <w:widowControl w:val="0"/>
        <w:spacing w:before="0" w:beforeAutospacing="0" w:after="0" w:afterAutospacing="0" w:line="276" w:lineRule="auto"/>
        <w:ind w:firstLine="709"/>
        <w:jc w:val="both"/>
      </w:pPr>
      <w:r>
        <w:rPr>
          <w:b/>
        </w:rPr>
        <w:tab/>
      </w:r>
      <w:r w:rsidRPr="00F1337F">
        <w:t>Projekt částečného smontování v mateřském závodě a následná expedice v nákladních kontejnerech do jiných závodů, kde se vůz smontuje celý, většinou za použití některých dílů z lokálních zdrojů je z hlediska geografie také zajímavý.</w:t>
      </w:r>
    </w:p>
    <w:p w:rsidR="0016254A" w:rsidRPr="00F1337F" w:rsidRDefault="0016254A" w:rsidP="00F1337F">
      <w:pPr>
        <w:pStyle w:val="Normlnweb"/>
        <w:widowControl w:val="0"/>
        <w:spacing w:before="0" w:beforeAutospacing="0" w:after="0" w:afterAutospacing="0" w:line="276" w:lineRule="auto"/>
        <w:ind w:firstLine="709"/>
        <w:jc w:val="both"/>
      </w:pPr>
      <w:r w:rsidRPr="00F1337F">
        <w:t>Již ve 20. a 30. letech minulého století se exportovaly automobily z Mladé Boleslavi ve formě rozložených vozů ke kompletaci např. do Anglie, Austrálie nebo Ruska, v 60. a 70. letech pak na Nový Zéland, do Pákistánu nebo Turecka. V novodobé historii se začalo s dodávkou rozložených vozů v roce 1994, kdy bylo dodáno prvních 1 000 sad modelu Škoda Favorit do závodu v polské Poznani, kde se vozy Škoda montovaly až do roku 2002. V současnosti se expeduje v různém stavu rozložení: FBU, SKD, MKD či CKD (viz Tab. 1)</w:t>
      </w:r>
    </w:p>
    <w:p w:rsidR="0016254A" w:rsidRDefault="0016254A" w:rsidP="0016254A">
      <w:pPr>
        <w:widowControl w:val="0"/>
        <w:jc w:val="both"/>
        <w:rPr>
          <w:rFonts w:ascii="Times New Roman" w:hAnsi="Times New Roman" w:cs="Times New Roman"/>
          <w:b/>
          <w:sz w:val="24"/>
          <w:szCs w:val="24"/>
        </w:rPr>
      </w:pPr>
    </w:p>
    <w:p w:rsidR="00F1337F" w:rsidRDefault="00F1337F" w:rsidP="0016254A">
      <w:pPr>
        <w:widowControl w:val="0"/>
        <w:jc w:val="both"/>
        <w:rPr>
          <w:rFonts w:ascii="Times New Roman" w:hAnsi="Times New Roman" w:cs="Times New Roman"/>
          <w:b/>
          <w:sz w:val="24"/>
          <w:szCs w:val="24"/>
        </w:rPr>
      </w:pPr>
    </w:p>
    <w:p w:rsidR="00F1337F" w:rsidRDefault="00F1337F" w:rsidP="0016254A">
      <w:pPr>
        <w:widowControl w:val="0"/>
        <w:jc w:val="both"/>
        <w:rPr>
          <w:rFonts w:ascii="Times New Roman" w:hAnsi="Times New Roman" w:cs="Times New Roman"/>
          <w:b/>
          <w:sz w:val="24"/>
          <w:szCs w:val="24"/>
        </w:rPr>
      </w:pPr>
    </w:p>
    <w:p w:rsidR="00F1337F" w:rsidRDefault="00F1337F" w:rsidP="0016254A">
      <w:pPr>
        <w:widowControl w:val="0"/>
        <w:jc w:val="both"/>
        <w:rPr>
          <w:rFonts w:ascii="Times New Roman" w:hAnsi="Times New Roman" w:cs="Times New Roman"/>
          <w:b/>
          <w:sz w:val="24"/>
          <w:szCs w:val="24"/>
        </w:rPr>
      </w:pPr>
    </w:p>
    <w:p w:rsidR="00F1337F" w:rsidRPr="00F1337F" w:rsidRDefault="00F1337F" w:rsidP="0016254A">
      <w:pPr>
        <w:widowControl w:val="0"/>
        <w:jc w:val="both"/>
        <w:rPr>
          <w:rFonts w:ascii="Times New Roman" w:hAnsi="Times New Roman" w:cs="Times New Roman"/>
          <w:b/>
          <w:sz w:val="24"/>
          <w:szCs w:val="24"/>
        </w:rPr>
      </w:pPr>
    </w:p>
    <w:p w:rsidR="0016254A" w:rsidRPr="00DF128A" w:rsidRDefault="0016254A" w:rsidP="0016254A">
      <w:pPr>
        <w:widowControl w:val="0"/>
        <w:jc w:val="both"/>
        <w:rPr>
          <w:rFonts w:ascii="Times New Roman" w:hAnsi="Times New Roman" w:cs="Times New Roman"/>
          <w:sz w:val="24"/>
          <w:szCs w:val="24"/>
        </w:rPr>
      </w:pPr>
      <w:r w:rsidRPr="00DF128A">
        <w:rPr>
          <w:rFonts w:ascii="Times New Roman" w:hAnsi="Times New Roman" w:cs="Times New Roman"/>
          <w:b/>
          <w:bCs/>
          <w:color w:val="000000"/>
          <w:sz w:val="24"/>
          <w:szCs w:val="24"/>
        </w:rPr>
        <w:lastRenderedPageBreak/>
        <w:t>Tab. 1</w:t>
      </w:r>
      <w:r>
        <w:rPr>
          <w:rFonts w:ascii="Times New Roman" w:hAnsi="Times New Roman" w:cs="Times New Roman"/>
          <w:b/>
          <w:bCs/>
          <w:color w:val="000000"/>
          <w:sz w:val="24"/>
          <w:szCs w:val="24"/>
        </w:rPr>
        <w:t>:</w:t>
      </w:r>
      <w:r>
        <w:rPr>
          <w:rFonts w:ascii="Times New Roman" w:hAnsi="Times New Roman" w:cs="Times New Roman"/>
          <w:color w:val="000000"/>
          <w:sz w:val="24"/>
          <w:szCs w:val="24"/>
        </w:rPr>
        <w:t xml:space="preserve"> Stupně rozloženosti vozů</w:t>
      </w:r>
    </w:p>
    <w:p w:rsidR="0016254A" w:rsidRPr="00502039" w:rsidRDefault="0016254A" w:rsidP="0016254A">
      <w:pPr>
        <w:rPr>
          <w:lang w:eastAsia="cs-CZ"/>
        </w:rPr>
      </w:pPr>
      <w:r>
        <w:rPr>
          <w:noProof/>
          <w:lang w:eastAsia="cs-CZ"/>
        </w:rPr>
        <w:drawing>
          <wp:inline distT="0" distB="0" distL="0" distR="0" wp14:anchorId="42538DC3" wp14:editId="1A724AA2">
            <wp:extent cx="3257550" cy="2438400"/>
            <wp:effectExtent l="19050" t="0" r="0" b="0"/>
            <wp:docPr id="49"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a:stretch>
                      <a:fillRect/>
                    </a:stretch>
                  </pic:blipFill>
                  <pic:spPr bwMode="auto">
                    <a:xfrm>
                      <a:off x="0" y="0"/>
                      <a:ext cx="3257550" cy="2438400"/>
                    </a:xfrm>
                    <a:prstGeom prst="rect">
                      <a:avLst/>
                    </a:prstGeom>
                    <a:noFill/>
                    <a:ln w="9525">
                      <a:noFill/>
                      <a:miter lim="800000"/>
                      <a:headEnd/>
                      <a:tailEnd/>
                    </a:ln>
                  </pic:spPr>
                </pic:pic>
              </a:graphicData>
            </a:graphic>
          </wp:inline>
        </w:drawing>
      </w:r>
    </w:p>
    <w:p w:rsidR="00F1337F" w:rsidRDefault="00F1337F" w:rsidP="00F1337F">
      <w:pPr>
        <w:pStyle w:val="Titulek"/>
        <w:widowControl w:val="0"/>
        <w:rPr>
          <w:szCs w:val="20"/>
        </w:rPr>
      </w:pPr>
      <w:r w:rsidRPr="00DF128A">
        <w:rPr>
          <w:szCs w:val="20"/>
        </w:rPr>
        <w:t xml:space="preserve">Zdroj: </w:t>
      </w:r>
      <w:r>
        <w:t>Škoda Auto výroční zpráva 2007</w:t>
      </w:r>
    </w:p>
    <w:p w:rsidR="0016254A" w:rsidRPr="00DF128A" w:rsidRDefault="0016254A" w:rsidP="0016254A">
      <w:pPr>
        <w:rPr>
          <w:lang w:eastAsia="cs-CZ"/>
        </w:rPr>
      </w:pPr>
    </w:p>
    <w:p w:rsidR="0016254A" w:rsidRPr="007B252D" w:rsidRDefault="0016254A" w:rsidP="00F1337F">
      <w:pPr>
        <w:pStyle w:val="Normlnweb"/>
        <w:widowControl w:val="0"/>
        <w:spacing w:before="0" w:beforeAutospacing="0" w:after="0" w:afterAutospacing="0" w:line="276" w:lineRule="auto"/>
        <w:ind w:firstLine="709"/>
        <w:jc w:val="both"/>
      </w:pPr>
      <w:r>
        <w:t xml:space="preserve">Vozy Škoda se montují </w:t>
      </w:r>
      <w:r w:rsidRPr="00C849A3">
        <w:t>v Indii (</w:t>
      </w:r>
      <w:r>
        <w:t xml:space="preserve">od roku  </w:t>
      </w:r>
      <w:r w:rsidRPr="00C849A3">
        <w:t>2001),</w:t>
      </w:r>
      <w:r>
        <w:t xml:space="preserve"> </w:t>
      </w:r>
      <w:r w:rsidRPr="00C849A3">
        <w:t>na Ukrajině (2002), v Kazachstánu (2005) a v Rusku (2007)</w:t>
      </w:r>
      <w:r>
        <w:t xml:space="preserve"> </w:t>
      </w:r>
      <w:r w:rsidRPr="00F1337F">
        <w:t>(Škoda Auto výroční zpráva 2007: s. 53)</w:t>
      </w:r>
      <w:r w:rsidRPr="00C849A3">
        <w:t>.</w:t>
      </w:r>
      <w:r>
        <w:t xml:space="preserve"> V období 1998 – 2008 se montovaly rovněž v Sarajevu. </w:t>
      </w:r>
      <w:r w:rsidRPr="00F1337F">
        <w:t>Vedle vlastních výrobních a montážních závodů se vozy značky</w:t>
      </w:r>
      <w:r>
        <w:t xml:space="preserve"> </w:t>
      </w:r>
      <w:r w:rsidRPr="00F1337F">
        <w:t>Škoda vyrábějí také v závodech koncernu Volkswagen v Pune (Indie) a v Šanghaji (Čína). Přechodně byly rovněž využívány</w:t>
      </w:r>
      <w:r>
        <w:t xml:space="preserve"> </w:t>
      </w:r>
      <w:r w:rsidRPr="00F1337F">
        <w:t>kapacity lakovny a montáže bratislavského závodu Volkswagen</w:t>
      </w:r>
      <w:r>
        <w:t xml:space="preserve"> </w:t>
      </w:r>
      <w:r w:rsidRPr="00F1337F">
        <w:t>(Slovensko). Skupina dále spolupracuje s partnerskými závody</w:t>
      </w:r>
      <w:r>
        <w:t xml:space="preserve"> </w:t>
      </w:r>
      <w:r w:rsidRPr="00F1337F">
        <w:t>v Solomonovu (Ukrajina) a v Usť-Kamenogorsku (Kazachstán).</w:t>
      </w:r>
    </w:p>
    <w:p w:rsidR="0016254A" w:rsidRPr="000A784A" w:rsidRDefault="0016254A" w:rsidP="00F1337F">
      <w:pPr>
        <w:pStyle w:val="Normlnweb"/>
        <w:widowControl w:val="0"/>
        <w:spacing w:before="0" w:beforeAutospacing="0" w:after="0" w:afterAutospacing="0" w:line="276" w:lineRule="auto"/>
        <w:ind w:firstLine="709"/>
        <w:jc w:val="both"/>
      </w:pPr>
      <w:r w:rsidRPr="00A33946">
        <w:t>V partnerských závodech bylo v uplynulém roce</w:t>
      </w:r>
      <w:r>
        <w:t xml:space="preserve"> </w:t>
      </w:r>
      <w:r w:rsidRPr="00A33946">
        <w:t>smontováno, popř. vyrobeno celkem 154 170 vozů.</w:t>
      </w:r>
      <w:r>
        <w:t xml:space="preserve"> </w:t>
      </w:r>
      <w:r w:rsidRPr="00A33946">
        <w:t>V čínské Šanghaji v červnu roku 2009 úspěšně naběhla</w:t>
      </w:r>
      <w:r>
        <w:t xml:space="preserve"> </w:t>
      </w:r>
      <w:r w:rsidRPr="00A33946">
        <w:t>licenční výroba vozů Škoda Superb nové generace.</w:t>
      </w:r>
      <w:r>
        <w:t xml:space="preserve"> </w:t>
      </w:r>
      <w:r w:rsidRPr="00A33946">
        <w:t>Společně s modely Škoda Fabia a Octavia sjelo z</w:t>
      </w:r>
      <w:r>
        <w:t> </w:t>
      </w:r>
      <w:r w:rsidRPr="00A33946">
        <w:t>výrobních</w:t>
      </w:r>
      <w:r>
        <w:t xml:space="preserve"> </w:t>
      </w:r>
      <w:r w:rsidRPr="00A33946">
        <w:t>linek celkem 131 779 vozů, což znamená významný</w:t>
      </w:r>
      <w:r>
        <w:t xml:space="preserve"> </w:t>
      </w:r>
      <w:r w:rsidRPr="00A33946">
        <w:t>meziroční růst ve výši téměř 140 %.</w:t>
      </w:r>
      <w:r>
        <w:t xml:space="preserve"> Jak vyplývá z Tab. 2, výroba v Indii a Rusku už je brána převážně jako místní, konkrétní údaje počtu kompletně vyrobených ku částečně smontovaných vozů však k dispozici nemáme.</w:t>
      </w:r>
    </w:p>
    <w:p w:rsidR="0016254A" w:rsidRDefault="0016254A" w:rsidP="0016254A">
      <w:pPr>
        <w:widowControl w:val="0"/>
        <w:jc w:val="both"/>
        <w:rPr>
          <w:rFonts w:ascii="Times New Roman" w:hAnsi="Times New Roman" w:cs="Times New Roman"/>
          <w:b/>
          <w:bCs/>
          <w:color w:val="000000"/>
          <w:sz w:val="24"/>
          <w:szCs w:val="24"/>
        </w:rPr>
      </w:pPr>
    </w:p>
    <w:p w:rsidR="0016254A" w:rsidRPr="00DF128A" w:rsidRDefault="0016254A" w:rsidP="0016254A">
      <w:pPr>
        <w:widowControl w:val="0"/>
        <w:jc w:val="both"/>
        <w:rPr>
          <w:rFonts w:ascii="Times New Roman" w:hAnsi="Times New Roman" w:cs="Times New Roman"/>
          <w:sz w:val="24"/>
          <w:szCs w:val="24"/>
        </w:rPr>
      </w:pPr>
      <w:r w:rsidRPr="00DF128A">
        <w:rPr>
          <w:rFonts w:ascii="Times New Roman" w:hAnsi="Times New Roman" w:cs="Times New Roman"/>
          <w:b/>
          <w:bCs/>
          <w:color w:val="000000"/>
          <w:sz w:val="24"/>
          <w:szCs w:val="24"/>
        </w:rPr>
        <w:t xml:space="preserve">Tab. </w:t>
      </w:r>
      <w:r>
        <w:rPr>
          <w:rFonts w:ascii="Times New Roman" w:hAnsi="Times New Roman" w:cs="Times New Roman"/>
          <w:b/>
          <w:bCs/>
          <w:color w:val="000000"/>
          <w:sz w:val="24"/>
          <w:szCs w:val="24"/>
        </w:rPr>
        <w:t>2:</w:t>
      </w:r>
      <w:r>
        <w:rPr>
          <w:rFonts w:ascii="Times New Roman" w:hAnsi="Times New Roman" w:cs="Times New Roman"/>
          <w:color w:val="000000"/>
          <w:sz w:val="24"/>
          <w:szCs w:val="24"/>
        </w:rPr>
        <w:t xml:space="preserve"> Montáž nebo výroba v partnerských závodech</w:t>
      </w:r>
    </w:p>
    <w:p w:rsidR="0016254A" w:rsidRPr="00E84AE0" w:rsidRDefault="0016254A" w:rsidP="0016254A">
      <w:pPr>
        <w:pStyle w:val="Titulek"/>
        <w:widowControl w:val="0"/>
        <w:rPr>
          <w:szCs w:val="20"/>
        </w:rPr>
      </w:pPr>
      <w:r w:rsidRPr="00DF128A">
        <w:rPr>
          <w:szCs w:val="20"/>
        </w:rPr>
        <w:t xml:space="preserve">Zdroj: </w:t>
      </w:r>
      <w:r>
        <w:t>Škoda Auto výroční zpráva 2009</w:t>
      </w:r>
    </w:p>
    <w:p w:rsidR="0016254A" w:rsidRPr="00A33946" w:rsidRDefault="0016254A" w:rsidP="0016254A">
      <w:pP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2DA5E5B2" wp14:editId="5069A405">
            <wp:extent cx="5760720" cy="1707519"/>
            <wp:effectExtent l="19050" t="0" r="0" b="0"/>
            <wp:docPr id="50"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cstate="print"/>
                    <a:srcRect/>
                    <a:stretch>
                      <a:fillRect/>
                    </a:stretch>
                  </pic:blipFill>
                  <pic:spPr bwMode="auto">
                    <a:xfrm>
                      <a:off x="0" y="0"/>
                      <a:ext cx="5760720" cy="1707519"/>
                    </a:xfrm>
                    <a:prstGeom prst="rect">
                      <a:avLst/>
                    </a:prstGeom>
                    <a:noFill/>
                    <a:ln w="9525">
                      <a:noFill/>
                      <a:miter lim="800000"/>
                      <a:headEnd/>
                      <a:tailEnd/>
                    </a:ln>
                  </pic:spPr>
                </pic:pic>
              </a:graphicData>
            </a:graphic>
          </wp:inline>
        </w:drawing>
      </w:r>
    </w:p>
    <w:p w:rsidR="0016254A" w:rsidRDefault="0016254A" w:rsidP="0016254A">
      <w:pPr>
        <w:rPr>
          <w:rFonts w:ascii="Times New Roman" w:hAnsi="Times New Roman" w:cs="Times New Roman"/>
          <w:b/>
          <w:sz w:val="24"/>
          <w:szCs w:val="24"/>
        </w:rPr>
      </w:pPr>
      <w:r>
        <w:rPr>
          <w:rFonts w:ascii="Times New Roman" w:hAnsi="Times New Roman" w:cs="Times New Roman"/>
          <w:b/>
          <w:noProof/>
          <w:sz w:val="24"/>
          <w:szCs w:val="24"/>
          <w:lang w:eastAsia="cs-CZ"/>
        </w:rPr>
        <w:lastRenderedPageBreak/>
        <w:drawing>
          <wp:inline distT="0" distB="0" distL="0" distR="0" wp14:anchorId="7FC64328" wp14:editId="740B5295">
            <wp:extent cx="5760720" cy="3386880"/>
            <wp:effectExtent l="19050" t="0" r="0" b="0"/>
            <wp:docPr id="51"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cstate="print"/>
                    <a:srcRect/>
                    <a:stretch>
                      <a:fillRect/>
                    </a:stretch>
                  </pic:blipFill>
                  <pic:spPr bwMode="auto">
                    <a:xfrm>
                      <a:off x="0" y="0"/>
                      <a:ext cx="5760720" cy="3386880"/>
                    </a:xfrm>
                    <a:prstGeom prst="rect">
                      <a:avLst/>
                    </a:prstGeom>
                    <a:noFill/>
                    <a:ln w="9525">
                      <a:noFill/>
                      <a:miter lim="800000"/>
                      <a:headEnd/>
                      <a:tailEnd/>
                    </a:ln>
                  </pic:spPr>
                </pic:pic>
              </a:graphicData>
            </a:graphic>
          </wp:inline>
        </w:drawing>
      </w:r>
    </w:p>
    <w:p w:rsidR="0016254A" w:rsidRPr="00DF128A" w:rsidRDefault="0016254A" w:rsidP="0016254A">
      <w:pPr>
        <w:widowControl w:val="0"/>
        <w:jc w:val="both"/>
        <w:rPr>
          <w:rFonts w:ascii="Times New Roman" w:hAnsi="Times New Roman" w:cs="Times New Roman"/>
          <w:sz w:val="24"/>
          <w:szCs w:val="24"/>
        </w:rPr>
      </w:pPr>
      <w:r>
        <w:rPr>
          <w:rFonts w:ascii="Times New Roman" w:hAnsi="Times New Roman" w:cs="Times New Roman"/>
          <w:b/>
          <w:sz w:val="24"/>
          <w:szCs w:val="24"/>
        </w:rPr>
        <w:t xml:space="preserve">Obr. 9 </w:t>
      </w:r>
      <w:r>
        <w:rPr>
          <w:rFonts w:ascii="Times New Roman" w:hAnsi="Times New Roman" w:cs="Times New Roman"/>
          <w:color w:val="000000"/>
          <w:sz w:val="24"/>
          <w:szCs w:val="24"/>
        </w:rPr>
        <w:t>Celosvětová výroba vozů ŠKODA</w:t>
      </w:r>
    </w:p>
    <w:p w:rsidR="0016254A" w:rsidRPr="00A33946" w:rsidRDefault="0016254A" w:rsidP="0016254A">
      <w:pPr>
        <w:rPr>
          <w:rFonts w:ascii="Times New Roman" w:hAnsi="Times New Roman" w:cs="Times New Roman"/>
          <w:b/>
          <w:i/>
          <w:sz w:val="20"/>
          <w:szCs w:val="20"/>
        </w:rPr>
      </w:pPr>
      <w:r w:rsidRPr="00A33946">
        <w:rPr>
          <w:rFonts w:ascii="Times New Roman" w:hAnsi="Times New Roman" w:cs="Times New Roman"/>
          <w:i/>
          <w:sz w:val="20"/>
          <w:szCs w:val="20"/>
        </w:rPr>
        <w:t>Zdroj: Škoda Auto výroční zpráva 2010</w:t>
      </w:r>
    </w:p>
    <w:p w:rsidR="0016254A" w:rsidRDefault="0016254A" w:rsidP="0016254A">
      <w:pPr>
        <w:rPr>
          <w:rFonts w:ascii="Times New Roman" w:hAnsi="Times New Roman" w:cs="Times New Roman"/>
          <w:b/>
          <w:sz w:val="24"/>
          <w:szCs w:val="24"/>
        </w:rPr>
      </w:pPr>
    </w:p>
    <w:p w:rsidR="0016254A" w:rsidRDefault="0016254A" w:rsidP="0016254A">
      <w:pPr>
        <w:rPr>
          <w:rFonts w:ascii="Times New Roman" w:hAnsi="Times New Roman" w:cs="Times New Roman"/>
          <w:b/>
          <w:sz w:val="24"/>
          <w:szCs w:val="24"/>
        </w:rPr>
      </w:pPr>
      <w:r w:rsidRPr="00953812">
        <w:rPr>
          <w:rFonts w:ascii="Times New Roman" w:hAnsi="Times New Roman" w:cs="Times New Roman"/>
          <w:b/>
          <w:sz w:val="24"/>
          <w:szCs w:val="24"/>
        </w:rPr>
        <w:t>Z</w:t>
      </w:r>
      <w:r>
        <w:rPr>
          <w:rFonts w:ascii="Times New Roman" w:hAnsi="Times New Roman" w:cs="Times New Roman"/>
          <w:b/>
          <w:sz w:val="24"/>
          <w:szCs w:val="24"/>
        </w:rPr>
        <w:t>ávěr</w:t>
      </w:r>
    </w:p>
    <w:p w:rsidR="0016254A" w:rsidRDefault="0016254A" w:rsidP="00F1337F">
      <w:pPr>
        <w:pStyle w:val="Normlnweb"/>
        <w:widowControl w:val="0"/>
        <w:spacing w:before="0" w:beforeAutospacing="0" w:after="0" w:afterAutospacing="0" w:line="276" w:lineRule="auto"/>
        <w:ind w:firstLine="709"/>
        <w:jc w:val="both"/>
      </w:pPr>
      <w:r>
        <w:t xml:space="preserve">Díky vstupu do koncernu Volkswagen se ze Škody Auto stal světový hráč na poli automobilového průmyslu, díly na nové vozy se vyrábějí ve 41 Světových státech a hotová vozidla jsou pak rovněž po celém světě prodávána. </w:t>
      </w:r>
      <w:r w:rsidRPr="00F1337F">
        <w:t xml:space="preserve">Celkový objem nákupu výrobních dílů vrostl za posledních 5 let o 30 mld. Kč, na 110 mld. Kč podíl českých dodavatelů ale klesl o 8%. I přes pokles podílu to ale znamená, že v tomto období putovalo k českým dodavatelům o 10 Mld. Kč více, z cca 50 mld. Kč na cca 60,5 mld. I když už Škoda vyrábí své vozy v Indii, Číně nebo Rusku, je sympatické, že stále využívá své výrobní kapacity i v Čechách (Mladá Boleslav, Kvasiny, Vrchlabí). Jelikož se v Čechách v rámci koncernu specializují na výrobu pohonných agregátů (motorů) a převodovek, mohlo by se v budoucnu stát, že se samotná výroba vozů přesune do jiných koncernových závodů a zde zůstane právě jen výroba určitých těchto dílů vozidel. Jak vyplývá z druhé části práce, forma částečně smontovaných aut se rozvíjí až by mohla přerůst, stejně jako v jiných odvětvích, v to, že se vozidla budou vyrábět jen v Asii a distribuovat odtamtud. </w:t>
      </w:r>
    </w:p>
    <w:p w:rsidR="00F1337F" w:rsidRPr="00DE10C6" w:rsidRDefault="00F1337F" w:rsidP="00F1337F">
      <w:pPr>
        <w:pStyle w:val="Normlnweb"/>
        <w:widowControl w:val="0"/>
        <w:spacing w:before="0" w:beforeAutospacing="0" w:after="0" w:afterAutospacing="0" w:line="276" w:lineRule="auto"/>
        <w:ind w:firstLine="709"/>
        <w:jc w:val="both"/>
      </w:pPr>
    </w:p>
    <w:p w:rsidR="003118B3" w:rsidRPr="003118B3" w:rsidRDefault="003118B3" w:rsidP="003118B3">
      <w:pPr>
        <w:widowControl w:val="0"/>
        <w:spacing w:line="276" w:lineRule="auto"/>
        <w:jc w:val="both"/>
        <w:rPr>
          <w:rFonts w:ascii="Times New Roman" w:hAnsi="Times New Roman" w:cs="Times New Roman"/>
          <w:sz w:val="24"/>
          <w:szCs w:val="24"/>
        </w:rPr>
      </w:pPr>
      <w:r w:rsidRPr="003118B3">
        <w:rPr>
          <w:rFonts w:ascii="Times New Roman" w:hAnsi="Times New Roman" w:cs="Times New Roman"/>
          <w:b/>
          <w:sz w:val="24"/>
          <w:szCs w:val="24"/>
        </w:rPr>
        <w:t>LITERATURA A ZDROJE</w:t>
      </w:r>
      <w:r w:rsidRPr="003118B3">
        <w:rPr>
          <w:rFonts w:ascii="Times New Roman" w:hAnsi="Times New Roman" w:cs="Times New Roman"/>
          <w:sz w:val="24"/>
          <w:szCs w:val="24"/>
        </w:rPr>
        <w: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Škoda Auto výroční zpráva 2000 [cit. 2.4.2012]. dostupný online &lt;</w:t>
      </w:r>
      <w:hyperlink r:id="rId73" w:history="1">
        <w:r w:rsidRPr="003264DF">
          <w:rPr>
            <w:iCs/>
            <w:sz w:val="20"/>
            <w:szCs w:val="20"/>
          </w:rPr>
          <w:t>http://www.skoda-auto.cz/SiteCollectionDocuments/For_investors/CS/Vyrocni_zpravy/SkodaAuto_AnnualReport_2000_CZ.pdf</w:t>
        </w:r>
      </w:hyperlink>
      <w:r w:rsidRPr="003264DF">
        <w:rPr>
          <w:rFonts w:ascii="Times New Roman" w:hAnsi="Times New Roman" w:cs="Times New Roman"/>
          <w:iCs/>
          <w:sz w:val="20"/>
          <w:szCs w:val="20"/>
        </w:rPr>
        <w:t>&gt;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 xml:space="preserve">Škoda Auto výroční zpráva 2002 [cit. 2.4.2012]. dostupný online &lt; </w:t>
      </w:r>
      <w:hyperlink r:id="rId74" w:history="1">
        <w:r w:rsidRPr="003264DF">
          <w:rPr>
            <w:iCs/>
            <w:sz w:val="20"/>
            <w:szCs w:val="20"/>
          </w:rPr>
          <w:t>http://www.skoda-auto.cz/SiteCollectionDocuments/For_investors/CS/Vyrocni_zpravy/SkodaAuto_AnnualReport_2002_CZ.pdf</w:t>
        </w:r>
      </w:hyperlink>
      <w:r w:rsidRPr="003264DF">
        <w:rPr>
          <w:rFonts w:ascii="Times New Roman" w:hAnsi="Times New Roman" w:cs="Times New Roman"/>
          <w:iCs/>
          <w:sz w:val="20"/>
          <w:szCs w:val="20"/>
        </w:rPr>
        <w:t>&gt;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 xml:space="preserve">Škoda Auto výroční zpráva 2003 [cit. 2.4.2012]. dostupný online &lt; </w:t>
      </w:r>
      <w:hyperlink r:id="rId75" w:history="1">
        <w:r w:rsidRPr="003264DF">
          <w:rPr>
            <w:iCs/>
            <w:sz w:val="20"/>
            <w:szCs w:val="20"/>
          </w:rPr>
          <w:t>http://www.skoda-auto.cz/SiteCollectionDocuments/For_investors/CS/Vyrocni_zpravy/SkodaAuto_AnnualReport_2003_CZ.pdf</w:t>
        </w:r>
      </w:hyperlink>
      <w:r w:rsidRPr="003264DF">
        <w:rPr>
          <w:rFonts w:ascii="Times New Roman" w:hAnsi="Times New Roman" w:cs="Times New Roman"/>
          <w:iCs/>
          <w:sz w:val="20"/>
          <w:szCs w:val="20"/>
        </w:rPr>
        <w:t>&gt;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 xml:space="preserve">Škoda Auto výroční zpráva 2004 [cit. 2.4.2012]. dostupný online &lt; </w:t>
      </w:r>
      <w:hyperlink r:id="rId76" w:history="1">
        <w:r w:rsidRPr="003264DF">
          <w:rPr>
            <w:iCs/>
            <w:sz w:val="20"/>
            <w:szCs w:val="20"/>
          </w:rPr>
          <w:t>http://www.skoda-auto.cz/SiteCollectionDocuments/For_investors/CS/Vyrocni_zpravy/SkodaAuto_AnnualReport_2004_CZ.pdf</w:t>
        </w:r>
      </w:hyperlink>
      <w:r w:rsidRPr="003264DF">
        <w:rPr>
          <w:rFonts w:ascii="Times New Roman" w:hAnsi="Times New Roman" w:cs="Times New Roman"/>
          <w:iCs/>
          <w:sz w:val="20"/>
          <w:szCs w:val="20"/>
        </w:rPr>
        <w:t>&gt;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lastRenderedPageBreak/>
        <w:t xml:space="preserve">Škoda Auto výroční zpráva 2006 [cit. 3.4.2012]. dostupný online &lt; </w:t>
      </w:r>
      <w:hyperlink r:id="rId77" w:history="1">
        <w:r w:rsidRPr="003264DF">
          <w:rPr>
            <w:iCs/>
            <w:sz w:val="20"/>
            <w:szCs w:val="20"/>
          </w:rPr>
          <w:t>http://www.skoda-auto.cz/SiteCollectionDocuments/For_investors/CS/Vyrocni_zpravy/SkodaAuto_AnnualReport_2006_CZ.pdf</w:t>
        </w:r>
      </w:hyperlink>
      <w:r w:rsidRPr="003264DF">
        <w:rPr>
          <w:rFonts w:ascii="Times New Roman" w:hAnsi="Times New Roman" w:cs="Times New Roman"/>
          <w:iCs/>
          <w:sz w:val="20"/>
          <w:szCs w:val="20"/>
        </w:rPr>
        <w:t>&gt;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 xml:space="preserve">Škoda Auto výroční zpráva 2007 [cit. 3.4.2012].  dostupný online &lt; </w:t>
      </w:r>
      <w:hyperlink r:id="rId78" w:history="1">
        <w:r w:rsidRPr="003264DF">
          <w:rPr>
            <w:iCs/>
            <w:sz w:val="20"/>
            <w:szCs w:val="20"/>
          </w:rPr>
          <w:t>http://www.skoda-auto.cz/SiteCollectionDocuments/For_investors/CS/Vyrocni_zpravy/SkodaAuto_AnnualReport_2007_CZ.pdf</w:t>
        </w:r>
      </w:hyperlink>
      <w:r w:rsidRPr="003264DF">
        <w:rPr>
          <w:rFonts w:ascii="Times New Roman" w:hAnsi="Times New Roman" w:cs="Times New Roman"/>
          <w:iCs/>
          <w:sz w:val="20"/>
          <w:szCs w:val="20"/>
        </w:rPr>
        <w:t>&gt;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Škoda Auto výroční zpráva 2008 [cit. 3.4.2012]. dostupný online &lt;</w:t>
      </w:r>
      <w:hyperlink r:id="rId79" w:history="1">
        <w:r w:rsidRPr="003264DF">
          <w:rPr>
            <w:iCs/>
            <w:sz w:val="20"/>
            <w:szCs w:val="20"/>
          </w:rPr>
          <w:t>http://www.skoda-auto.cz/SiteCollectionDocuments/For_investors/CS/Vyrocni_zpravy/SkodaAuto_AnnualReport_2008_CZ.pdf</w:t>
        </w:r>
      </w:hyperlink>
      <w:r w:rsidRPr="003264DF">
        <w:rPr>
          <w:rFonts w:ascii="Times New Roman" w:hAnsi="Times New Roman" w:cs="Times New Roman"/>
          <w:iCs/>
          <w:sz w:val="20"/>
          <w:szCs w:val="20"/>
        </w:rPr>
        <w:t>&gt;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 xml:space="preserve">Škoda Auto výroční zpráva 2009 [cit. 3.4.2012]. dostupný online </w:t>
      </w:r>
      <w:hyperlink r:id="rId80" w:history="1">
        <w:r w:rsidRPr="003264DF">
          <w:rPr>
            <w:iCs/>
            <w:sz w:val="20"/>
            <w:szCs w:val="20"/>
          </w:rPr>
          <w:t>http://www.skoda-auto.cz/SiteCollectionDocuments/For_investors/CS/Vyrocni_zpravy/SkodaAuto_AnnualReport_2009_CZ.pdf</w:t>
        </w:r>
      </w:hyperlink>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Škoda Auto výroční zpráva 2010 [cit. 31.3.2012]. dostupný online &lt;</w:t>
      </w:r>
      <w:hyperlink r:id="rId81" w:history="1">
        <w:r w:rsidRPr="003264DF">
          <w:rPr>
            <w:iCs/>
            <w:sz w:val="20"/>
            <w:szCs w:val="20"/>
          </w:rPr>
          <w:t>http://www.skoda-auto.cz/SiteCollectionDocuments/For_investors/CS/Vyrocni_zpravy/SkodaAuto_AnnualReport_2010_CZ.pdf</w:t>
        </w:r>
      </w:hyperlink>
      <w:r w:rsidRPr="003264DF">
        <w:rPr>
          <w:rFonts w:ascii="Times New Roman" w:hAnsi="Times New Roman" w:cs="Times New Roman"/>
          <w:iCs/>
          <w:sz w:val="20"/>
          <w:szCs w:val="20"/>
        </w:rPr>
        <w:t>&gt;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Moderní řízení skladu náhradních dílů ve společnoti Škoda Auto. In Automatizace. Ročník 47, čís. 9, 2004, str. 556. [cit. 7.4.2012]. dostupný online &lt;</w:t>
      </w:r>
      <w:hyperlink r:id="rId82" w:history="1">
        <w:r w:rsidRPr="003264DF">
          <w:rPr>
            <w:iCs/>
            <w:sz w:val="20"/>
            <w:szCs w:val="20"/>
          </w:rPr>
          <w:t>http://www.automatizace.cz/article.php?a=283</w:t>
        </w:r>
      </w:hyperlink>
      <w:r w:rsidRPr="003264DF">
        <w:rPr>
          <w:rFonts w:ascii="Times New Roman" w:hAnsi="Times New Roman" w:cs="Times New Roman"/>
          <w:iCs/>
          <w:sz w:val="20"/>
          <w:szCs w:val="20"/>
        </w:rPr>
        <w:t>&gt;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LEBEDZEVA, I.(2011): Využití systému plánů a rozpočtů v řízení odbytu ve společnosti ŠKODA AUTO a.s. Praha: Vysoká škola ekonomická. 92 s.</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Volkswagen Group [cit. 7.4.2012]. dostupný online &lt;</w:t>
      </w:r>
      <w:hyperlink r:id="rId83" w:history="1">
        <w:r w:rsidRPr="003264DF">
          <w:rPr>
            <w:iCs/>
            <w:sz w:val="20"/>
            <w:szCs w:val="20"/>
          </w:rPr>
          <w:t>http://www.volkswagenag.com/content/vwcorp/content/en/the_group.html</w:t>
        </w:r>
      </w:hyperlink>
      <w:r w:rsidRPr="003264DF">
        <w:rPr>
          <w:rFonts w:ascii="Times New Roman" w:hAnsi="Times New Roman" w:cs="Times New Roman"/>
          <w:iCs/>
          <w:sz w:val="20"/>
          <w:szCs w:val="20"/>
        </w:rPr>
        <w:t>&gt;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Léčivý Volkswagen aneb jak se ze Škody stal klenot [cit. 5.4.2012] &lt;</w:t>
      </w:r>
      <w:hyperlink r:id="rId84" w:history="1">
        <w:r w:rsidRPr="003264DF">
          <w:rPr>
            <w:iCs/>
            <w:sz w:val="20"/>
            <w:szCs w:val="20"/>
          </w:rPr>
          <w:t>http://byznys.lidovky.cz/lecivy-volkswagen-aneb-jak-se-ze-skody-stal-klenot-fsz-/firmy-trhy.asp?c=A110415_093412_firmy-trhy_nev</w:t>
        </w:r>
      </w:hyperlink>
      <w:r w:rsidRPr="003264DF">
        <w:rPr>
          <w:rFonts w:ascii="Times New Roman" w:hAnsi="Times New Roman" w:cs="Times New Roman"/>
          <w:iCs/>
          <w:sz w:val="20"/>
          <w:szCs w:val="20"/>
        </w:rPr>
        <w:t>&gt;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Volkswagen koupil 49,9 procent automobilky Porsche [cit. 5.4.2012]  &lt;</w:t>
      </w:r>
      <w:hyperlink r:id="rId85" w:history="1">
        <w:r w:rsidRPr="003264DF">
          <w:rPr>
            <w:iCs/>
            <w:sz w:val="20"/>
            <w:szCs w:val="20"/>
          </w:rPr>
          <w:t>http://ekonomika.idnes.cz/volkswagen-koupil-49-9-procent-automobilky-porsche-fso-/ekoakcie.aspx?c=A091207_170922_ekoakcie_fih</w:t>
        </w:r>
      </w:hyperlink>
      <w:r w:rsidRPr="003264DF">
        <w:rPr>
          <w:rFonts w:ascii="Times New Roman" w:hAnsi="Times New Roman" w:cs="Times New Roman"/>
          <w:iCs/>
          <w:sz w:val="20"/>
          <w:szCs w:val="20"/>
        </w:rPr>
        <w:t>&gt;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Škoda a 10 nejlepších dodavatelů 2006[cit. 5.4.2012] &lt;</w:t>
      </w:r>
      <w:hyperlink r:id="rId86" w:history="1">
        <w:r w:rsidRPr="003264DF">
          <w:rPr>
            <w:iCs/>
            <w:sz w:val="20"/>
            <w:szCs w:val="20"/>
          </w:rPr>
          <w:t>http://news.autoroad.cz/nezarazeno/14951-asdf/</w:t>
        </w:r>
      </w:hyperlink>
      <w:r w:rsidRPr="003264DF">
        <w:rPr>
          <w:rFonts w:ascii="Times New Roman" w:hAnsi="Times New Roman" w:cs="Times New Roman"/>
          <w:iCs/>
          <w:sz w:val="20"/>
          <w:szCs w:val="20"/>
        </w:rPr>
        <w:t>&gt;</w:t>
      </w:r>
    </w:p>
    <w:p w:rsidR="00F1337F" w:rsidRPr="003264DF" w:rsidRDefault="0016254A" w:rsidP="003264DF">
      <w:pPr>
        <w:widowControl w:val="0"/>
        <w:spacing w:after="120" w:line="276" w:lineRule="auto"/>
        <w:jc w:val="both"/>
        <w:rPr>
          <w:iCs/>
          <w:sz w:val="20"/>
          <w:szCs w:val="20"/>
        </w:rPr>
      </w:pPr>
      <w:r w:rsidRPr="003264DF">
        <w:rPr>
          <w:rFonts w:ascii="Times New Roman" w:hAnsi="Times New Roman" w:cs="Times New Roman"/>
          <w:iCs/>
          <w:sz w:val="20"/>
          <w:szCs w:val="20"/>
        </w:rPr>
        <w:t xml:space="preserve">Dodavatelé Škody Auto musí kvůli jejím odstávkám přerušit výrobu [cit. 6.4.2012] </w:t>
      </w:r>
      <w:hyperlink r:id="rId87" w:history="1">
        <w:r w:rsidRPr="003264DF">
          <w:rPr>
            <w:iCs/>
            <w:sz w:val="20"/>
            <w:szCs w:val="20"/>
          </w:rPr>
          <w:t>http://byznys.ihned.cz/c1-30893570-dodavatele-skody-auto-musi-kvuli-jejim-odstavkam-prerusit-vyrobu.</w:t>
        </w:r>
      </w:hyperlink>
    </w:p>
    <w:p w:rsidR="00F1337F" w:rsidRDefault="00F1337F" w:rsidP="00F1337F">
      <w:pPr>
        <w:rPr>
          <w:rStyle w:val="Hypertextovodkaz"/>
          <w:rFonts w:ascii="Times New Roman" w:hAnsi="Times New Roman" w:cs="Times New Roman"/>
          <w:sz w:val="24"/>
          <w:szCs w:val="24"/>
        </w:rPr>
      </w:pPr>
      <w:r>
        <w:rPr>
          <w:rStyle w:val="Hypertextovodkaz"/>
          <w:rFonts w:ascii="Times New Roman" w:hAnsi="Times New Roman" w:cs="Times New Roman"/>
          <w:sz w:val="24"/>
          <w:szCs w:val="24"/>
        </w:rPr>
        <w:br w:type="page"/>
      </w:r>
    </w:p>
    <w:p w:rsidR="0016254A" w:rsidRPr="0016254A" w:rsidRDefault="00F1337F" w:rsidP="003118B3">
      <w:pPr>
        <w:pStyle w:val="Nadpis1"/>
        <w:ind w:firstLine="0"/>
      </w:pPr>
      <w:bookmarkStart w:id="87" w:name="_Toc331023988"/>
      <w:r>
        <w:lastRenderedPageBreak/>
        <w:t>World music jako odpor globalizace</w:t>
      </w:r>
      <w:r w:rsidR="0016254A" w:rsidRPr="0016254A">
        <w:rPr>
          <w:vertAlign w:val="superscript"/>
        </w:rPr>
        <w:footnoteReference w:id="56"/>
      </w:r>
      <w:bookmarkEnd w:id="87"/>
    </w:p>
    <w:p w:rsidR="003118B3" w:rsidRDefault="003118B3" w:rsidP="003118B3">
      <w:pPr>
        <w:pStyle w:val="Nadpis1"/>
        <w:ind w:firstLine="0"/>
        <w:rPr>
          <w:b w:val="0"/>
          <w:i/>
        </w:rPr>
      </w:pPr>
    </w:p>
    <w:p w:rsidR="0016254A" w:rsidRPr="003118B3" w:rsidRDefault="0016254A" w:rsidP="003118B3">
      <w:pPr>
        <w:pStyle w:val="Nadpis1"/>
        <w:ind w:firstLine="0"/>
        <w:rPr>
          <w:b w:val="0"/>
          <w:i/>
        </w:rPr>
      </w:pPr>
      <w:bookmarkStart w:id="88" w:name="_Toc331023989"/>
      <w:r w:rsidRPr="003118B3">
        <w:rPr>
          <w:b w:val="0"/>
          <w:i/>
        </w:rPr>
        <w:t>Pavel Doboš</w:t>
      </w:r>
      <w:bookmarkEnd w:id="88"/>
    </w:p>
    <w:p w:rsidR="0016254A" w:rsidRPr="003118B3" w:rsidRDefault="0016254A" w:rsidP="003118B3">
      <w:pPr>
        <w:widowControl w:val="0"/>
        <w:spacing w:line="276" w:lineRule="auto"/>
        <w:ind w:firstLine="709"/>
        <w:jc w:val="center"/>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Hudba je fenoménem, který bezpochyby patří do sféry kultury. Různé kultury produkují různé hudební nástroje, díky nimž vytvářejí různé melodie či rytmy, používají různé techniky zpěvu, tedy jednoduše řečeno do své hudební tvorby předávají část své kulturní podstaty. Díky tomu hudební diverzita na planetě do určité míry odráží kulturní diverzitu. V dnešní době je známo mnoho hudebních stylů, které mají svůj původ v určité kulturní tradici. Tyto styly se s postupem času prolínají, přeměňují a prochází určitou hudební evolucí. Z prolínání hudebních stylů v 2. polovině 20. století vzešel i žánr, který je dnes znám pod jménem world music, případně world beat. Pro tento žánr je typické, že je založen na prolínání ryze západních moderních hudebních prvků na jedné straně a tradičních, obvykle nezápadních, hudebních prvků na druhé straně. Tato práce se zabývá žánrem world music a konkrétně zde existuje snaha jednak poukázat na spojení tohoto žánru a globalizačních procesů a jednak identifikovat oblasti, v jakých interpreti tohoto žánru mohou mít snahu vytvářet odpor globalizaci. První část je věnována teoretickému pojednání o vztahu globalizace a world music, případně jejích interpretů. Druhá část popisuje metodologii zvolenou v analytické části této práce a konečně třetí část je přímo kvalitativní analýzou vztahu interpretů world music a fenoménu globalizace. </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264DF" w:rsidRDefault="0016254A" w:rsidP="003264DF">
      <w:pPr>
        <w:pStyle w:val="Nadpis1"/>
        <w:ind w:firstLine="0"/>
        <w:jc w:val="left"/>
        <w:rPr>
          <w:rFonts w:eastAsiaTheme="minorHAnsi"/>
          <w:bCs w:val="0"/>
          <w:lang w:eastAsia="en-US"/>
        </w:rPr>
      </w:pPr>
      <w:bookmarkStart w:id="89" w:name="_Toc331023990"/>
      <w:r w:rsidRPr="003264DF">
        <w:rPr>
          <w:rFonts w:eastAsiaTheme="minorHAnsi"/>
          <w:bCs w:val="0"/>
          <w:lang w:eastAsia="en-US"/>
        </w:rPr>
        <w:t>World music a globalizace</w:t>
      </w:r>
      <w:bookmarkEnd w:id="89"/>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World music se dá označit za produkt postupující globalizace, protože uvedl typicky lokální kulturní prvky z oblastí rozmístěných různě na světě do moderní západní kultury. Ta se je pokusila zakomponovat do svého kulturního základu skrze proces hybridizace. Tento proces se vztahuje ke směšování a vzájemnému ovlivňování dvou nebo i více kulturních proudů. Je ale důležité, že neznamená, že všechno bude nakonec stejné a že všechny kulturní proudy jsou stejně náchylné ke směšování, neboť mnohé formy vědění zůstávají lokální, jiné jsou více spíše ovlivňovanými než ovlivňujícími a jen malá část má skutečnou sílu ovlivňovat ostatní na jiných místech (Eriksen 2008: 358). V případě world music se jedná o pronikání určitých prvků nezápadní hudby do západního hudebního dění, a tak do jejího rámce se může počítat například využívání afrických hudebních nástrojů v písních, které ale mají ryze západní hudební standard.</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Podle Felda (1996: 27) se ve world music objevují polarizující síly unifikace a tendence k rozmanitosti, které na sebe navzájem působí a nenechají tak spadnout rozvoj tohoto druhu hudby do stereotypu. Zároveň není možné nahlížet na vývoj v oblasti world music jednostranně, protože na jedné straně se západní moderní hudba například afrikanizuje, zatímco na druhé straně se africká populární hudba amerikanizuje (Feld 1988: 36). Je tak prý možné připustit, že trendy vycházející z world music jsou pozitivně působící silou pro vývoj veškeré současné hudby. Ovšem je si třeba všimnout, že s tímto nově vzniklým hudebním proudem se pojí i určité problémy.</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Na pozitivním hudebním vývoji totiž stále těží zejména Západ, neboť na jeho území </w:t>
      </w:r>
      <w:r w:rsidRPr="003118B3">
        <w:rPr>
          <w:rFonts w:ascii="Times New Roman" w:hAnsi="Times New Roman" w:cs="Times New Roman"/>
          <w:sz w:val="24"/>
          <w:szCs w:val="24"/>
        </w:rPr>
        <w:lastRenderedPageBreak/>
        <w:t>působí vydavatelské či marketingové společnosti, které mohou vydělávat na produkci world music, což vede k dalšímu ekonomickému vykořisťování nezápadních zemí. A není třeba pohlížet na problematiku jen z ekonomické stránky, neboť Morgan (2006: 28) si všímá, že na world music může být nahlíženo přímo jako na produkt neokolonialismu, protože zachází s hudbou nezápadního původu jako se surovým materiálem, který má být využit Západem. Například prý západní patentové zákony staví do nevýhody právoplatné vlastníky hudby předávané ústní formou. Tudíž zatímco interpreti tradiční hudby původem z nezápadního světa mohou sice určitým způsobem těžit z toho, že ať přímo či nepřímo účinkují na produkci západních umělců, výnosy, které z toho plynou pro tyto západní umělce, jsou neporovnatelně vyšší. Z toho je poznat silný etnocentrismus, jaký se do world music dostává, například právě skrze zmíněné patentové zákony, které jsou ze své podstaty nutně etnocentrické. Nicméně dnes se jejich působení stává globální, a tak mohou poškozovat jedince z odlišných kultur, pro které původně nebyly vytvořeny. To se ovšem na druhou stranu děje i u mnoha dalších původně západních věcí, které se globalizují.</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Na world music se tak může nahlížet jako na úspěšný odraz západní hegemonie, jež je spojena s vykořisťováním a kulturním pohlcováním, nicméně to by byla jen polovina poznání této hudby. Ve world music lze totiž zároveň nalézt symbol multikulturalismu a rovněž prostředí resistence – trochu paradoxně zejména proti samotné globalizaci (Lipsitz 1997). World music je celkem nepřekvapivě tvořena umělci, kteří mají určitý pozitivní vztah ke kulturní rozmanitosti, a jejich cílem není snažit se ji zničit tím, že vytvoří nějaký sjednocený hybridní hudební proud, nýbrž naopak chtějí kulturní rozmanitost uchovat, protože jim je inspirací v jejich tvorbě. V tomto ohledu logicky pohlížejí na postupující globalizaci, která je více westernizací než čímkoli jiným, ne zrovna přívětivě, neboť ničí to, co jim je vzácné. Zároveň tito umělci mohou mít přímo určitý více nebo méně silný původ v oblastech nezápadního světa.</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Rovněž i v případech, kdy takový původ nemají, tak skrze svou zálibu ve world music si budují určitý vztah k místům, z nichž pochází prvky tradiční hudby, které ve své tvorbě využívají. Skrze hudbu si tak vytvářejí specifickou kulturní identitu, která je rozprostřena mezi více místy. Connell a Gibson (2006: 343-344) vyjadřují názor, že world music tak napomáhá četné konstrukci dříve neobvyklých vícenásobných geografických a kulturních identit, ve kterých se prolíná globální s lokálním. Tím se prý world music stává jedním z činitelů deteritorializace, kdy lidé fakticky začínají být skrze svou identitu stále méně intenzivně spojeni s místem, kde žijí fyzicky, a tudíž je vhodné zkoumat ji i přístupy geografie.</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V rámci world music tedy vzniká silný pocit spřízněnosti s prostorem, který je mimo fyzický dosah jednotlivců, díky čemuž je u lidí pochybující se v tomto proudu hudby tendence k tomu, aby odporovali globalizaci, protože ta se může jevit jako snaha o homogenizaci různých míst, jež obsahuje mnohonásobná kulturní a geografická identita těchto lidí. To oni pochopitelně nechtějí, protože jednak by tím jejich identita již přestala být geograficky a kulturně mnohonásobná a jednak mohou věřit, že místa jejich identit taková homogenizace negativně deformuje a poškodí. Zároveň si je třeba připomenout jinou tezi, a totiž tu, že hudba je prostředkem komunikace, který evokuje silné emoce a provokuje činy politického odporu, tudíž hudba může pomoci vytvořit konkrétní podobu politických a symbolických geografií resistence (Dodds 2005: 100). Ze spojení těchto dvou uvedených tezí vcelku jasně vyplývá, že </w:t>
      </w:r>
      <w:r w:rsidRPr="003118B3">
        <w:rPr>
          <w:rFonts w:ascii="Times New Roman" w:hAnsi="Times New Roman" w:cs="Times New Roman"/>
          <w:sz w:val="24"/>
          <w:szCs w:val="24"/>
        </w:rPr>
        <w:lastRenderedPageBreak/>
        <w:t>umělci tvořící world music mohou mít tendence k tomu, aby své postoje odporu proti globalizaci vyjadřovali přímo skrze hudbu, kterou tvoří.</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264DF">
      <w:pPr>
        <w:pStyle w:val="Nadpis1"/>
        <w:ind w:firstLine="0"/>
        <w:jc w:val="left"/>
      </w:pPr>
      <w:bookmarkStart w:id="90" w:name="_Toc331023991"/>
      <w:r w:rsidRPr="003118B3">
        <w:t>Metodologie</w:t>
      </w:r>
      <w:bookmarkEnd w:id="90"/>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Jak mohou vypadat takové tendence, je právě cílem kvalitativní analýzy v této práci. Jelikož se bude jednat o textuální analýzu, tak pro ni byli vybráni interpreti, kteří produkují písně, jež mají nějaký text. Rovněž to musel být text, který je v autorovi srozumitelném jazyce.</w:t>
      </w:r>
      <w:r w:rsidRPr="003118B3">
        <w:rPr>
          <w:rFonts w:ascii="Times New Roman" w:hAnsi="Times New Roman" w:cs="Times New Roman"/>
          <w:sz w:val="24"/>
          <w:szCs w:val="24"/>
        </w:rPr>
        <w:footnoteReference w:id="57"/>
      </w:r>
      <w:r w:rsidRPr="003118B3">
        <w:rPr>
          <w:rFonts w:ascii="Times New Roman" w:hAnsi="Times New Roman" w:cs="Times New Roman"/>
          <w:sz w:val="24"/>
          <w:szCs w:val="24"/>
        </w:rPr>
        <w:t xml:space="preserve"> V rámci poststrukturalistických přístupů v geografii začíná být sice obvyklé převádět kvůli textuální analýze na text i věci, které principielně textem nejsou</w:t>
      </w:r>
      <w:r w:rsidRPr="003118B3">
        <w:rPr>
          <w:rFonts w:ascii="Times New Roman" w:hAnsi="Times New Roman" w:cs="Times New Roman"/>
          <w:sz w:val="24"/>
          <w:szCs w:val="24"/>
        </w:rPr>
        <w:footnoteReference w:id="58"/>
      </w:r>
      <w:r w:rsidRPr="003118B3">
        <w:rPr>
          <w:rFonts w:ascii="Times New Roman" w:hAnsi="Times New Roman" w:cs="Times New Roman"/>
          <w:sz w:val="24"/>
          <w:szCs w:val="24"/>
        </w:rPr>
        <w:t>, nicméně v tomto případě není třeba zacházet do takové hloubky. Mohlo by se namítnout, že bez analýzy hudby se ztrácí velmi zásadní složka analýzy písní, ovšem v tomto případě jde hlavně o to definovat vztah interpretů world music ke globalizaci, a tak patrně analýza textu vybraných písní postačí.</w:t>
      </w:r>
      <w:r w:rsidRPr="003118B3">
        <w:rPr>
          <w:rFonts w:ascii="Times New Roman" w:hAnsi="Times New Roman" w:cs="Times New Roman"/>
          <w:sz w:val="24"/>
          <w:szCs w:val="24"/>
        </w:rPr>
        <w:footnoteReference w:id="59"/>
      </w:r>
      <w:r w:rsidRPr="003118B3">
        <w:rPr>
          <w:rFonts w:ascii="Times New Roman" w:hAnsi="Times New Roman" w:cs="Times New Roman"/>
          <w:sz w:val="24"/>
          <w:szCs w:val="24"/>
        </w:rPr>
        <w:t xml:space="preserve"> Další podmínkou pro vstup do analýzy bylo pochopitelně určité oficiální označení umělce jako interpreta, který tvoří world music. K této věci byla využita databáze na internetové stránce World Music Central.org, tedy interpret musel být přítomen v databázi tvůrců world music na této stránce. A konečně finální podmínkou bylo, že interpret musí mít nějaké písně, ve kterých se vyjadřuje o tématech, která se nějakým způsobem dají propojit s tématem globalizace. Následně bylo třeba z databáze vybrat takové umělce, kteří vyhovují definovaným podmínkám. Po sérii náhodných výběrů, které se ukázaly být z hlediska plnění zadaných podmínek špatnou volbou, bylo nakonec přistoupeno k polonáhodnému a polosystematickému výběru</w:t>
      </w:r>
      <w:r w:rsidRPr="003118B3">
        <w:rPr>
          <w:rFonts w:ascii="Times New Roman" w:hAnsi="Times New Roman" w:cs="Times New Roman"/>
          <w:sz w:val="24"/>
          <w:szCs w:val="24"/>
        </w:rPr>
        <w:footnoteReference w:id="60"/>
      </w:r>
      <w:r w:rsidRPr="003118B3">
        <w:rPr>
          <w:rFonts w:ascii="Times New Roman" w:hAnsi="Times New Roman" w:cs="Times New Roman"/>
          <w:sz w:val="24"/>
          <w:szCs w:val="24"/>
        </w:rPr>
        <w:t>, ze kterého vyplynuli interpreti Asian Dub Foundation, Thievery Corporation, Nitin Sawhney a Bruce Cockburn. Ačkoli čtyři umělci mohou působit jako malý počet, tak vzhledem k dostatku textu k analýze u těchto umělců a celkově limitovanému charakteru práce se tento počet ukázal být dostatečný.</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V případě Asian Dub Foundation (dále jen ADF) se jedná o britskou hudební skupinu složenou z několika potomků pákistánských a indických imigrantů, jejíž hudební zaměření nemusí na první poslech připomínat nejobvyklejší rysy world music, nicméně vzhledem k tomu, že členové skupiny vyrůstali na tradiční asijské hudbě, tak je u nich obvyklé, že do svých skladeb takřka vždy zakomponují určitý prvek této hudby, někde více, jinde méně (Asiandubfoundation.com). Thievery Corporation (dále jen TC) je tvořena dvojící DJů z Washingtonu D.C., které dohromady přivedla obliba v poznávání nových kultur a experimentování s tradiční hudbou a jejichž hudební portfolio kombinuje hudební prvky tradiční hudby snad ze všech oblastí světa, přičemž ve svých skladbách velmi hojně využívají různé hostující interprety z oblasti world music (Thieverycorporation.com). Nitin Sawhney (dále jen NS) je britský hudební producent a multi-instrumentalista, jenž se narodil indickým imigrantům. Jeho tvorba je velmi rozmanitá a velmi často využívá prvky některé tradiční </w:t>
      </w:r>
      <w:r w:rsidRPr="003118B3">
        <w:rPr>
          <w:rFonts w:ascii="Times New Roman" w:hAnsi="Times New Roman" w:cs="Times New Roman"/>
          <w:sz w:val="24"/>
          <w:szCs w:val="24"/>
        </w:rPr>
        <w:lastRenderedPageBreak/>
        <w:t>regionální hudby, přičemž nejvíce asi indické a to i včetně zpěvu či recitace v některém z indických jazyků (Nitinsawhney.com, Answers.com). Bruce Cockburn (dále jen BC) je kanadský zejména jazzový, bluesový a rockový písničkář a rovněž aktivní cestovatel, který se nechává svými cestami po světě inspirovat k tvorbě svých skladeb, a proto jeho tvorba dostává silný nádech world music (Brucecockburn.com).</w:t>
      </w:r>
    </w:p>
    <w:p w:rsidR="0016254A" w:rsidRPr="003118B3" w:rsidRDefault="0016254A" w:rsidP="003264DF">
      <w:pPr>
        <w:widowControl w:val="0"/>
        <w:spacing w:line="276" w:lineRule="auto"/>
        <w:jc w:val="both"/>
        <w:rPr>
          <w:rFonts w:ascii="Times New Roman" w:hAnsi="Times New Roman" w:cs="Times New Roman"/>
          <w:sz w:val="24"/>
          <w:szCs w:val="24"/>
        </w:rPr>
      </w:pPr>
      <w:r w:rsidRPr="003118B3">
        <w:rPr>
          <w:rFonts w:ascii="Times New Roman" w:hAnsi="Times New Roman" w:cs="Times New Roman"/>
          <w:noProof/>
          <w:sz w:val="24"/>
          <w:szCs w:val="24"/>
          <w:lang w:eastAsia="cs-CZ"/>
        </w:rPr>
        <w:drawing>
          <wp:inline distT="0" distB="0" distL="0" distR="0" wp14:anchorId="716C2479" wp14:editId="5CC02A05">
            <wp:extent cx="3943350" cy="2952750"/>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43350" cy="2952750"/>
                    </a:xfrm>
                    <a:prstGeom prst="rect">
                      <a:avLst/>
                    </a:prstGeom>
                    <a:noFill/>
                    <a:ln>
                      <a:noFill/>
                    </a:ln>
                  </pic:spPr>
                </pic:pic>
              </a:graphicData>
            </a:graphic>
          </wp:inline>
        </w:drawing>
      </w:r>
    </w:p>
    <w:p w:rsidR="003264DF" w:rsidRDefault="0016254A" w:rsidP="003264DF">
      <w:pPr>
        <w:widowControl w:val="0"/>
        <w:spacing w:line="276" w:lineRule="auto"/>
        <w:jc w:val="both"/>
        <w:rPr>
          <w:rFonts w:ascii="Times New Roman" w:hAnsi="Times New Roman" w:cs="Times New Roman"/>
          <w:sz w:val="24"/>
          <w:szCs w:val="24"/>
        </w:rPr>
      </w:pPr>
      <w:r w:rsidRPr="003118B3">
        <w:rPr>
          <w:rFonts w:ascii="Times New Roman" w:hAnsi="Times New Roman" w:cs="Times New Roman"/>
          <w:sz w:val="24"/>
          <w:szCs w:val="24"/>
        </w:rPr>
        <w:t xml:space="preserve">Obrázek </w:t>
      </w:r>
      <w:r w:rsidRPr="003118B3">
        <w:rPr>
          <w:rFonts w:ascii="Times New Roman" w:hAnsi="Times New Roman" w:cs="Times New Roman"/>
          <w:sz w:val="24"/>
          <w:szCs w:val="24"/>
        </w:rPr>
        <w:fldChar w:fldCharType="begin"/>
      </w:r>
      <w:r w:rsidRPr="003118B3">
        <w:rPr>
          <w:rFonts w:ascii="Times New Roman" w:hAnsi="Times New Roman" w:cs="Times New Roman"/>
          <w:sz w:val="24"/>
          <w:szCs w:val="24"/>
        </w:rPr>
        <w:instrText xml:space="preserve"> SEQ Obrázek \* ARABIC </w:instrText>
      </w:r>
      <w:r w:rsidRPr="003118B3">
        <w:rPr>
          <w:rFonts w:ascii="Times New Roman" w:hAnsi="Times New Roman" w:cs="Times New Roman"/>
          <w:sz w:val="24"/>
          <w:szCs w:val="24"/>
        </w:rPr>
        <w:fldChar w:fldCharType="separate"/>
      </w:r>
      <w:r w:rsidRPr="003118B3">
        <w:rPr>
          <w:rFonts w:ascii="Times New Roman" w:hAnsi="Times New Roman" w:cs="Times New Roman"/>
          <w:sz w:val="24"/>
          <w:szCs w:val="24"/>
        </w:rPr>
        <w:t>1</w:t>
      </w:r>
      <w:r w:rsidRPr="003118B3">
        <w:rPr>
          <w:rFonts w:ascii="Times New Roman" w:hAnsi="Times New Roman" w:cs="Times New Roman"/>
          <w:sz w:val="24"/>
          <w:szCs w:val="24"/>
        </w:rPr>
        <w:fldChar w:fldCharType="end"/>
      </w:r>
      <w:r w:rsidRPr="003118B3">
        <w:rPr>
          <w:rFonts w:ascii="Times New Roman" w:hAnsi="Times New Roman" w:cs="Times New Roman"/>
          <w:sz w:val="24"/>
          <w:szCs w:val="24"/>
        </w:rPr>
        <w:t>. Thievery Corporation naživo.</w:t>
      </w:r>
    </w:p>
    <w:p w:rsidR="0016254A" w:rsidRPr="003264DF" w:rsidRDefault="0016254A" w:rsidP="003264DF">
      <w:pPr>
        <w:widowControl w:val="0"/>
        <w:spacing w:line="276" w:lineRule="auto"/>
        <w:jc w:val="both"/>
        <w:rPr>
          <w:rFonts w:ascii="Times New Roman" w:hAnsi="Times New Roman" w:cs="Times New Roman"/>
          <w:i/>
          <w:sz w:val="20"/>
          <w:szCs w:val="20"/>
        </w:rPr>
      </w:pPr>
      <w:r w:rsidRPr="003264DF">
        <w:rPr>
          <w:rFonts w:ascii="Times New Roman" w:hAnsi="Times New Roman" w:cs="Times New Roman"/>
          <w:i/>
          <w:sz w:val="20"/>
          <w:szCs w:val="20"/>
        </w:rPr>
        <w:t>zdroj: http://www.songkick.com/artists/114197-thievery-corporation)</w:t>
      </w:r>
    </w:p>
    <w:p w:rsidR="003264DF" w:rsidRDefault="003264DF" w:rsidP="003264DF">
      <w:pPr>
        <w:pStyle w:val="Nadpis1"/>
        <w:ind w:firstLine="0"/>
        <w:jc w:val="left"/>
      </w:pPr>
    </w:p>
    <w:p w:rsidR="0016254A" w:rsidRPr="003118B3" w:rsidRDefault="0016254A" w:rsidP="003264DF">
      <w:pPr>
        <w:pStyle w:val="Nadpis1"/>
        <w:ind w:firstLine="0"/>
        <w:jc w:val="left"/>
      </w:pPr>
      <w:bookmarkStart w:id="91" w:name="_Toc331023992"/>
      <w:r w:rsidRPr="003118B3">
        <w:t>Analýza</w:t>
      </w:r>
      <w:bookmarkEnd w:id="91"/>
    </w:p>
    <w:p w:rsidR="0016254A" w:rsidRPr="003118B3" w:rsidRDefault="003264DF" w:rsidP="003118B3">
      <w:pPr>
        <w:widowControl w:val="0"/>
        <w:spacing w:line="276" w:lineRule="auto"/>
        <w:ind w:firstLine="709"/>
        <w:jc w:val="both"/>
        <w:rPr>
          <w:rFonts w:ascii="Times New Roman" w:hAnsi="Times New Roman" w:cs="Times New Roman"/>
          <w:sz w:val="24"/>
          <w:szCs w:val="24"/>
        </w:rPr>
      </w:pPr>
      <w:r>
        <w:rPr>
          <w:rFonts w:ascii="Times New Roman" w:hAnsi="Times New Roman" w:cs="Times New Roman"/>
          <w:sz w:val="24"/>
          <w:szCs w:val="24"/>
        </w:rPr>
        <w:t>T</w:t>
      </w:r>
      <w:r w:rsidR="0016254A" w:rsidRPr="003118B3">
        <w:rPr>
          <w:rFonts w:ascii="Times New Roman" w:hAnsi="Times New Roman" w:cs="Times New Roman"/>
          <w:sz w:val="24"/>
          <w:szCs w:val="24"/>
        </w:rPr>
        <w:t>extuální analýza ukázala, že u zkoumaných interpretů lze vysledovat několik dimenzí, jež vytvářejí jejich celistvý prostor odporu proti globalizaci</w:t>
      </w:r>
      <w:r w:rsidR="0016254A" w:rsidRPr="003118B3">
        <w:rPr>
          <w:rFonts w:ascii="Times New Roman" w:hAnsi="Times New Roman" w:cs="Times New Roman"/>
          <w:sz w:val="24"/>
          <w:szCs w:val="24"/>
        </w:rPr>
        <w:footnoteReference w:id="61"/>
      </w:r>
      <w:r w:rsidR="0016254A" w:rsidRPr="003118B3">
        <w:rPr>
          <w:rFonts w:ascii="Times New Roman" w:hAnsi="Times New Roman" w:cs="Times New Roman"/>
          <w:sz w:val="24"/>
          <w:szCs w:val="24"/>
        </w:rPr>
        <w:t>. První dimenze odporu je namířena proti ekonomickému kontrastu mezi bohatými západními a chudšími nezápadními zeměmi a vykořisťování nezápadních oblastí Západem.</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TC se ve své skladbě Vampires vyjadřují o jakýchsi upírech, jimž se nedá věřit a kteří jsou zároveň politiky, zloději a lháři („Don´t believe politicians and thieves […] Pirates and robbers, liars and thieves“). Dají se najít v Lagosu, Kinshase, Darfúru či Malabu a „they´ll gain the world but lose their souls“, proto „[you] better know you´ll always be poor“. Z toho lze vidět, že tito upíři jsou pravděpodobně hlavními hybateli ekonomické globalizace a jejich působení je toho charakteru, že „získáním světa“ vykořisťují jiné, které lze nalézt například v afrických oblastech, tedy rozvojovém světě.</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V podobném duchu se TC vyjadřují i ve skladbě Revolution Solution, když mimo jiné používají verše:</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„The paradox of poverty</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Has left us dismayed</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Sliding democracy</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Washing away</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The toil of the many goes</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lastRenderedPageBreak/>
        <w:t>To the fortunate few.“</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Zde je vidět, že TC propojují rozšiřování demokracie ve světě, což je globalizační proces, s následným brzkým příchodem chudoby, jelikož světovou produkci si přivlastní jen těch „pár šťastných“.</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Ve skladbě Colour Line ADF tvrdí, že „Racism and imperialism work in tandem and poverty is their handmaiden“, přičemž chudí jsou explicitně identifikováni jako „non-white, non-western, third world“. V tom lze pozorovat imaginativní sílu orientalismu, který na ADF působí v tom smyslu, že interpret nachází jasnou hranici mezi Západem a třetím světem v opozici bohatý-chudý. Ovšem jak ukazuje Said (2008), takové jednoduché soudy jsou zavádějící a zakořeněné v západním diskurzu, který se snaží snadno popsat orientálního „druhého“ jako lehce definovatelnou obecnou kategorii. Nelze totiž dnes tvrdit, že by všichni „non-western, third world“ byli chudí. Tudíž i ADF, jakkoli s dobrým úmyslem, podléhají konstrukci typického orientálního „jiného“. ADF ve skladbě dále pokračují silnou kritikou globalizace:</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„Discrimination and exploitation feed into each other today, under global capitalism</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We are back to primitive accumulation – plunder on a world scale“. </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Jedná se tedy o myšlenku, že globální kapitalismus je viníkem vykořisťování chudé části světa tou bohatou. Z dosud uvedeného šla poznat rozrůzněnost geografických a kulturních identit u ADF. Ačkoli jsou totiž obyvateli Západu, jejich identita dosahuje do nezápadního světa, zejména k oblastem obývaných chudými. To dokládá i verš z jejich skladby Debris, kdy jako synové imigrantů o sobě mluví jako o těch, kteří se dostali na své současné místo nedobrovolně kvůli chudobě v domovině jejich rodičů, přičemž: „Yes, our underdevelopment was caused by your abuse“.</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Podobná vícenásobná geografická a kulturní identita je patrná i u NS, když ve skladbě Rainfall říká „It is the world, seems so far from here“ – odkazuje tedy k nějakému místu mimo svou současnou geografickou pozici. Na jiném místě skladby zmiňuje „In this world we´re living on, so much poverty around me“. Uvažuje tedy místa, která nejsou bohatá jako místo, kde žije, ovšem jsou mu stále blízká, protože jsou „kolem něj“. Dále ve skladbě vyjadřuje, že čeká na moment, kdy lidé přestanou být ignoranty a nastane nová realita – vzhledem k dosavadnímu kontextu skladby patrně taková, kde chudoba na určitých místech již neexistuje.</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BC je v oblasti nerovnoměrného rozložení bohatství na světě značně explicitně kritický, když ve skladbě Call It Democracy mluví o „tyranny by so-called developed nations“ a pokračuje verši „Kill the best and buy the rest, […] you don´t really give a flying fuck about the people in misery“. Největší vinu pak vidí u „market hungry military profiteers, whose word is a swamp and whose brow is smeared by the blood of the poor“, kteří údajně dokážou měnit země v pracovní tábory. V tomto ohledu si patrně všímá fenoménu nové mezinárodní dělby práce, kdy v rozvojových zemích je umístěna výroba, ale profit jde zejména na bohatší Západ. Obecně je podle popsaného poznat, že v diskurzu interpretů world music se silně prosadila, ať již přímo či nepřímo, teorie světových systému podle Wallersteina (1984), kde její autor pojednává o tom, jak země jádra vykořisťují země periferie.</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V rámci dimenze nerovného rozložení bohatství na světě lze vysledovat subdimenzi kritiky institucí jako Mezinárodní měnový fond. ADF v Colour Line tvrdí, že „The IMF, the World Bank, Structural adjustment programmes […] under the guise of developing the third </w:t>
      </w:r>
      <w:r w:rsidRPr="003118B3">
        <w:rPr>
          <w:rFonts w:ascii="Times New Roman" w:hAnsi="Times New Roman" w:cs="Times New Roman"/>
          <w:sz w:val="24"/>
          <w:szCs w:val="24"/>
        </w:rPr>
        <w:lastRenderedPageBreak/>
        <w:t>world, plunder it“. V TC skladbě Vampires se zase vyskytuje sloka:</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„Lies and theft</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Guns and debt</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Life and death</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IMF“</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BC v Call It Democracy tvrdí „IMF, dirty MF, […], Keep them on the hook with unsupportable debt“, což je obvinění MMF ze zadlužení rozvojových zemí. Lze tedy vidět, že hlavními viníky jsou podle těchto interpretů instituce jako Mezinárodní měnový fond, jelikož zadlužily některé rozvojové země. Nadnárodní korporace, které podle Sýkory (2000) jsou hlavním tahounem ekonomické globalizace a vytváření rozdílů mezi bohatými a chudými zeměmi v globalizovaném světě, jsou oproti tomu zmíněny jen jednou a nevýrazně, když ve skladbě Culture of Fear hovoří TC o spojení mezi chamtivostí a společnostmi Mastercard a Visa.</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ADF si ve skladbě Culture Move všímají, že žijeme v „čase zjevení“, kdy se ukázalo, že někteří lidé si chtějí „vybudovat pevnou pozici“, díky čemuž neváhají „bring human beings down to pure degradation“, načež se váže „starvation, sufferation, dehumanisation“. Toto lze interpretovat jako obavu, že strádající lidé, o nichž se v této skladbě mluví, se stávají subalterny – lidmi mimo hegemonní mocenskou strukturu, kteří nemají možnost rozhodovat o svém osudu a jsou tak dehumanizováni. V pojednání o subalternech se vyjadřuje Spivak (1988: 75-78), že západní myšlení si pro sebe urguje právo být subjektem, který je schopen hodnotit, zatímco subalterni mají pouze možnost být objektem, který může být hodnocen, ale který nemá dostatečné schopnosti předvádět své názory jako subjekt, jelikož Západ si sám vytyčil termíny, jak může hodnotit subjekt. Tudíž ty, kteří ve skladbě „budují pozici“, lze považovat za západní subjekty, což potvrzuje i fakt, že ADF o nich rovněž ve skladbě mluví jako o těch, kteří disponují chemickými a nukleárními zbraněmi.</w:t>
      </w:r>
      <w:r w:rsidRPr="003118B3">
        <w:rPr>
          <w:rFonts w:ascii="Times New Roman" w:hAnsi="Times New Roman" w:cs="Times New Roman"/>
          <w:sz w:val="24"/>
          <w:szCs w:val="24"/>
        </w:rPr>
        <w:footnoteReference w:id="62"/>
      </w:r>
      <w:r w:rsidRPr="003118B3">
        <w:rPr>
          <w:rFonts w:ascii="Times New Roman" w:hAnsi="Times New Roman" w:cs="Times New Roman"/>
          <w:sz w:val="24"/>
          <w:szCs w:val="24"/>
        </w:rPr>
        <w:t xml:space="preserve"> Subalterni jsou pak ti, kteří trpí „dehumanisation“. Lze si však povšimnout, že takto je pozice subalternů reprodukována, protože ani interpreti world music nevyvíjí snahu o nich uvažovat jako o subjektech a stále ve svých textech o nich pojednávají jako o objektech, kteří nemohou mluvit sami za sebe – z toho důvodu za ně také mluví sami umělci.</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Přesto se zde ovšem nepochybně objevuje druhá dimenze prostoru resistence proti globalizaci, která se vyznačuje snahou odporu proti rozdělování lidí na „nás“ a „ty druhé“. To je patrné i v pokračování skladby Culture Move:</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„Politicians claim that they´ve got the solution</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But deep in their hearts they have a wicked intention</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To rinse out poor people with tax and inflation</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Segregating the massive, separating the nations.“</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Zde jsou obviňovány politické elity, jimž jde údajně o to, aby se skrze vykořisťování udržel stav rozdělené světové společnosti, rozdělených mas.</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Dimenzi odporu k rozčleňování lidí na „nás“ a „ty druhé“ lze pozorovat i u TC skladby Warning Shots, kde „soul-less devastators divide and conquer and try to separate us“. </w:t>
      </w:r>
      <w:r w:rsidRPr="003118B3">
        <w:rPr>
          <w:rFonts w:ascii="Times New Roman" w:hAnsi="Times New Roman" w:cs="Times New Roman"/>
          <w:sz w:val="24"/>
          <w:szCs w:val="24"/>
        </w:rPr>
        <w:lastRenderedPageBreak/>
        <w:t>Globalizace je v tomto ohledu kritizována skrze obviňování Hollywoodu, jehož dosah se dá považovat za globální: „Hollywood sending signals of destruction, stereotype the ghetto youths as the bad man“. Ve skladbě Blasting through the City pak TC kritizují válečné tažení městem a zmiňují: „Don´t disguise, ´cause the system is devised to divide us“. Obviňují tedy určitý systém dnešního světa, který rozděluje lidi. Proti separaci na „nás“ a „ty druhé“ přemýšlí i NS, když ve skladbě Street Guru mluví o Korejcích, Židech, Arabech, Pákistáncích a Indech stejným způsobem jako o lidech ze sousedství („neighbourhoods“), a brání se tak jakémukoli jejich odlišování.</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Další dimenze odporu proti globalizaci se dá nalézt v nespokojenosti s tím, že by měl dál trvat současný stav, a proto obsahuje volání po jakési změně nebo revoluci. Na tomto tématu je prakticky postavena celá TC skladba Revolution Solution. ADF ve skladbě Culture Move nabádají „Encourage the massive to become their own creator, […], so direct the crowd, give them navigation“, což připomíná silně revoluční rétoriku. BC (Call It Democracy) mluví o dětech, které během vyrůstání poznají nespravedlnosti a až vyrostou, tak „they call the revolution“.</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Nakonec se silná dimenze odporu proti globalizaci nachází v tématu migrace z rozvojových do rozvinutých zemí. ADF ve skladbě Fortress Europe kritizují uzavřenost Evropy vůči imigrantům z třetího světa, které označují jako „children of globalization“. ADF uvádí, že nejdřív – patrně Evropané či Západ obecně - takovým imigrantům zapálí vesnici a pak je posílají domů. Tvrdí o nich, že tito lidé mají právo migrovat, a nemáme proto poslouchat „scaremongers, who doesn´t run when they feel the hunger“, čímž patrně myslí lidi, kteří straší přehlcením Evropy imigranty, ale kteří nikdy nepoznali problémy rozvojových zemí, jako je hlad. Podle ADF by se zdi pevnosti Evropa měly strhnout. Ve skladbě Colour Line zase ADF tvrdí, že neexistují ilegální imigranti, pouze ilegální vlády. Důvody, proč by měl Západ přijímat imigranty z třetího světa, pak ADF (Debris) vyjadřuje následovně:</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„We´re only here ´cause you were there,</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Consequences of your global pillage“.</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Tím patrně odkazují na kolonialismus, případně neokolonialismus. </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TC v Culture of Fear volají „fear the INS</w:t>
      </w:r>
      <w:r w:rsidRPr="003118B3">
        <w:rPr>
          <w:rFonts w:ascii="Times New Roman" w:hAnsi="Times New Roman" w:cs="Times New Roman"/>
          <w:sz w:val="24"/>
          <w:szCs w:val="24"/>
        </w:rPr>
        <w:footnoteReference w:id="63"/>
      </w:r>
      <w:r w:rsidRPr="003118B3">
        <w:rPr>
          <w:rFonts w:ascii="Times New Roman" w:hAnsi="Times New Roman" w:cs="Times New Roman"/>
          <w:sz w:val="24"/>
          <w:szCs w:val="24"/>
        </w:rPr>
        <w:t>“, čímž značí, že nesouhlasí se silným omezováním imigrace, jaké se děje v USA. NS ve skladbě Eastern Eyes pojednává o východním dítěti, které se probudilo pod západní oblohou. Nicméně vyjadřuje, že z toho důvodu se jedná o „an alien child“, které si musí obtížně hledat svou cestu, neboť má „tear-stained face of a haunted kind“. Tím upozorňuje na obtížné začleňování nezápadních imigrantů do západní společnosti.</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V tomto ohledu se téma globální migrace zdá být dalším tématem, skrze nějž interpreti world music reprodukují svou vícenásobnou geografickou a kulturní identitu, jež je jednou částí v západní společnosti a jinou částí mimo ni. Vykazují totiž pochopení pro lidi, kteří se chtějí dostat z nezápadního světa na Západ, a kritizují předsudky vůči imigraci, které se někdy více, někdy méně intenzivně objevují u lidí s jednotnou geografickou a kulturní identitou. </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Z oblasti odporu proti vytváření globální kultury v dnešním světě je toho u řešených </w:t>
      </w:r>
      <w:r w:rsidRPr="003118B3">
        <w:rPr>
          <w:rFonts w:ascii="Times New Roman" w:hAnsi="Times New Roman" w:cs="Times New Roman"/>
          <w:sz w:val="24"/>
          <w:szCs w:val="24"/>
        </w:rPr>
        <w:lastRenderedPageBreak/>
        <w:t>interpretů zmíněno velmi málo. Pouze ve skladbě Culture Move ADF vyjadřuje pomocí kritiky nejmenovaného jedince tuto větu: „What him a say will happen without a doubt, cannot think for himself, copy the American“. Tím ukazují, že se jim příliš nelíbí rozšiřování amerických myšlenkových trendů, což je faktický nesouhlas s rozšiřováním jednotné globální kultury silně založené na americkém vzoru. Odpor proti kulturní globalizaci tak při textuální analýze skladeb není možné identifikovat do takové míry jako jiné dimenze odporu proti globalizaci. Ovšem NS například ve svých skladbách, které nejsou čistě instrumentální, používá ve velké míře i jazyky jiné než angličtina, obvykle zejména jazyky indické. V tom se dá poznat rovněž určitý typ symbolického odporu proti kulturní globalizaci. Stejně tak by patrně bylo možné nalézt symbolický odpor kulturní homogenizace v hudbě samotné. Nicméně podobné jevy jsou již mimo rámec analýzy, která byla definována jako analýza textů písní, jež jsou v autorovi práce srozumitelném jazyce.</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264DF">
      <w:pPr>
        <w:pStyle w:val="Nadpis1"/>
        <w:ind w:firstLine="0"/>
        <w:jc w:val="left"/>
      </w:pPr>
      <w:bookmarkStart w:id="92" w:name="_Toc331023993"/>
      <w:r w:rsidRPr="003118B3">
        <w:t>Závěr</w:t>
      </w:r>
      <w:bookmarkEnd w:id="92"/>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Práce ukázala, že world music jako produkt globalizačních a hybridizačních procesů je fenomén do velké míry nejednoznačný. Na jedné straně pomáhá reprodukovat nerovné postavení mezi společností, která z globalizace profituje nejvíce, a ostatními společnostmi, které z ní těží méně nebo vůbec, a tím se stává součástí neokolonialismu. Tato reprodukce nerovnosti spočívá ve skutečnosti, že západní hudební interpreti si prakticky přivlastňují kulturní dědictví původem nezápadní, ovšem lidé z kultur, odkud toto dědictví pochází, z toho příliš netěží a profit jde západním umělcům. Na druhou stranu ovšem world music ze své podstaty, kdy je skrze ni oslavována kulturní rozmanitost světa, nabízí prostor, ve kterém se formují určité podoby resistence. Takový odpor se dostává ve tvorbě interpretů world music do popředí z toho důvodu, že jejich obliba tohoto druhu hudby u nich působí jako stimulant tvorby mnohonásobných geografických a kulturních identit, které propojují různá místa na světě. Umělci jsou tak aktivními účastníky deteritorializace. Proto vytvářejí prostor resistence, jež je namířený často proti globalizaci samotné, neboť ta může mít negativní vliv na místa spojená s jejich mnohonásobnými identitami. Vzhledem k tomu, že hudba je zároveň dobrým způsobem, jak vyjádřit konkrétní formy odporu, tak tito interpreti svoje resistence promítají do svých písní.</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Analýza ukázala, že prostory resistence u interpretů world music se mohou dotýkat několika dimenzí, byť jen na ně nemusí být omezené, protože dosažené poznatky nelze generalizovat na všechny interprety world music. První identifikovanou dimenzí je odpor proti chudobě v nezápadních zemích a kritika vykořisťování těchto zemí Západem. Na ní se váže subdimenze kritiky institucí, které jsou vnímány jako hlavní viníci chudoby nezápadních zemí. Druhá dimenze spočívá v odporu vůči rozlišování na „nás“ a „ty druhé“, jelikož interpreti skrze svou mnohonásobnou geografickou a kulturní identitu si nemohou být nikdy jistí, do jaké kategorie mají patřit, a patrně ani nechtějí patřit jen do jedné z nich. Třetí dimenze je odpor vůči tomu, že status quo dnešního světa by měl přetrvat, a proto obsahuje volání po určité změně či revoluci, která by vymýtila problémy, jež se pojí s globalizací. Čtvrtá dimenze pak obsahuje odpor vůči omezování migrace z nezápadních zemí na Západ a rovněž odpor proti tomu, že by imigranti z nezápadních zemí měli být na Západě vnímáni jako cizí a neúplní členové společnosti. Objevuje se sice i pátá dimenze odporu proti tvorbě jednotné globální kultury, ovšem v tak malé míře, že ji nelze považovat rovnocenně validní </w:t>
      </w:r>
      <w:r w:rsidRPr="003118B3">
        <w:rPr>
          <w:rFonts w:ascii="Times New Roman" w:hAnsi="Times New Roman" w:cs="Times New Roman"/>
          <w:sz w:val="24"/>
          <w:szCs w:val="24"/>
        </w:rPr>
        <w:lastRenderedPageBreak/>
        <w:t>s předchozími čtyřmi. Analýza rovněž ukázala, že ani vybraní interpreti world music se jako mnozí další obyvatelé Západu nevyvarují stereotypizaci nezápadního „druhého“ a přemýšlení o lidech mimo Západ jako o subalternech, jimž je upřena pozice subjektu – jedince s možností ryze vlastního hodnocení, postoje a názoru.</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3118B3" w:rsidRPr="00DF128A" w:rsidRDefault="003118B3" w:rsidP="003118B3">
      <w:pPr>
        <w:widowControl w:val="0"/>
        <w:spacing w:line="276" w:lineRule="auto"/>
        <w:jc w:val="both"/>
        <w:rPr>
          <w:rFonts w:ascii="Times New Roman" w:hAnsi="Times New Roman" w:cs="Times New Roman"/>
          <w:sz w:val="24"/>
          <w:szCs w:val="24"/>
        </w:rPr>
      </w:pPr>
      <w:r w:rsidRPr="00622CAB">
        <w:rPr>
          <w:rFonts w:ascii="Times New Roman" w:hAnsi="Times New Roman" w:cs="Times New Roman"/>
          <w:b/>
          <w:sz w:val="24"/>
          <w:szCs w:val="24"/>
        </w:rPr>
        <w:t>LITERATURA A ZDROJE</w:t>
      </w:r>
      <w:r w:rsidRPr="00DF128A">
        <w:rPr>
          <w:rFonts w:ascii="Times New Roman" w:hAnsi="Times New Roman" w:cs="Times New Roman"/>
          <w:sz w:val="24"/>
          <w:szCs w:val="24"/>
        </w:rPr>
        <w: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CONNEL, John, GIBSON, Chris. 2004. „World music: deterritorializing place and identity.“ Progress in Human Geography 28 (3): s. 342-361.</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 xml:space="preserve">DODDS, Klaus. 2005. Global Geopolitics: A Critical Introduction. Harlow: Pearson Education. </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ERIKSEN, Thomas H. 2008. Sociální a kulturní antropologie. Praha: Portál.</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 xml:space="preserve">FELD, Steven. 1988. “Notes on World Beat.” Public Culture Bulletin 1 (1): s. 31-37.  </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FELD, Steven. 1996. “Pygmy Pop: A Genealogy of Schizophonic Mimesis.”  Yearbook for Traditional  Music  28: s. 1-35.</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LIPSITZ, George. 1997. Dangerous crossroads: popular music, postmodernism and the poetics of place. London: Verso.</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MORGAN, Josephine Melanie. 2006. World music and international development: ethnography of globalization (thesis for master degree). College Park: University of Maryland, College of Arts &amp; Humanities, School of Music.</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SAID, Edward W. 2008. Orientalismus: Západní koncepce Orientu. Praha: Paseka.</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 xml:space="preserve">SPIVAK, Gayatri C. 1988. „Can the Subaltern Speak?“ In NELSON, Cary, GROSSBERG, Lawrence (eds.). Marxism and the Interpretation of Culture. Basingstoke: Macmilian Education. s. 271-313. </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SÝKORA, Luděk. 2000. „Globalizace a její společenské a geografické důsledky.“ In DANĚK, Petr, JEHLIČKA, Petr, TOMEŠ, Jiří (eds.). Stát, prostor, politika: vybrané otázky politické geografie. Praha: Univerzita Karlova.</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WALLERSTEIN, Immanuel. 1984. The politics of the world-economy. Cambridge: Cambridge University Press.</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„Artists Database“ World music central.org [online]. [cit. 14.4. 2012]. Dostupné z: &lt;http://worldmusiccentral.org/artists/artist_index.php?sort=Name&gt;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„BIO“ Asiandubfoundation.com [online]. [cit. 21.4. 2012]. Dostupné z: &lt;http://www.asiandubfoundation.com/?page_id=204&gt;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„Biography“ Thieverycorporation.com [online]. [cit. 21.4. 2012]. Dostupné z: &lt;http://www.thieverycorporation.com/biography&gt;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„Biography“ Nitinsawhney.com [online]. [cit. 21.4. 2012]. Dostupné z: &lt;http://www.nitinsawhney.com/nitinsawhney/About.html&gt;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 xml:space="preserve">„Nitin Sawhney“ Answers.com [online]. [cit. 21.4. 2012]. Dostupné z: &lt;http://www.answers.com/topic/nitin-sawhney&gt; </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„BIO“ Brucecockburn.com [online]. [cit. 21.4. 2012] Dostupné z: &lt;http://brucecockburn.com/about/&gt;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„Lyrics Mania“ Lyricsmania.com [online]. [cit. 15.4. 2012]. Dostupné z: &lt;http://www.lyricsmania.com/&gt;</w:t>
      </w:r>
    </w:p>
    <w:p w:rsidR="0016254A" w:rsidRDefault="0016254A" w:rsidP="00E244EA">
      <w:pPr>
        <w:widowControl w:val="0"/>
        <w:spacing w:after="120" w:line="276" w:lineRule="auto"/>
        <w:jc w:val="both"/>
        <w:rPr>
          <w:rFonts w:ascii="Times New Roman" w:hAnsi="Times New Roman" w:cs="Times New Roman"/>
          <w:sz w:val="24"/>
          <w:szCs w:val="24"/>
        </w:rPr>
      </w:pPr>
      <w:r w:rsidRPr="003264DF">
        <w:rPr>
          <w:rFonts w:ascii="Times New Roman" w:hAnsi="Times New Roman" w:cs="Times New Roman"/>
          <w:iCs/>
          <w:sz w:val="20"/>
          <w:szCs w:val="20"/>
        </w:rPr>
        <w:t>„Lyrics“ Metrolyrics.com [online]. [cit. 15.4. 2012]. Dostupné z: &lt;http://www</w:t>
      </w:r>
      <w:r w:rsidRPr="003118B3">
        <w:rPr>
          <w:rFonts w:ascii="Times New Roman" w:hAnsi="Times New Roman" w:cs="Times New Roman"/>
          <w:sz w:val="24"/>
          <w:szCs w:val="24"/>
        </w:rPr>
        <w:t>.</w:t>
      </w:r>
      <w:r w:rsidRPr="003264DF">
        <w:rPr>
          <w:rFonts w:ascii="Times New Roman" w:hAnsi="Times New Roman" w:cs="Times New Roman"/>
          <w:iCs/>
          <w:sz w:val="20"/>
          <w:szCs w:val="20"/>
        </w:rPr>
        <w:t>metrolyrics.com/&gt;</w:t>
      </w:r>
    </w:p>
    <w:p w:rsidR="00F1337F" w:rsidRDefault="00F1337F" w:rsidP="003118B3">
      <w:pPr>
        <w:widowControl w:val="0"/>
        <w:spacing w:line="276" w:lineRule="auto"/>
        <w:ind w:firstLine="709"/>
        <w:jc w:val="both"/>
        <w:rPr>
          <w:rFonts w:ascii="Times New Roman" w:hAnsi="Times New Roman" w:cs="Times New Roman"/>
          <w:sz w:val="24"/>
          <w:szCs w:val="24"/>
        </w:rPr>
      </w:pPr>
      <w:r>
        <w:rPr>
          <w:rFonts w:ascii="Times New Roman" w:hAnsi="Times New Roman" w:cs="Times New Roman"/>
          <w:sz w:val="24"/>
          <w:szCs w:val="24"/>
        </w:rPr>
        <w:br w:type="page"/>
      </w:r>
    </w:p>
    <w:p w:rsidR="0016254A" w:rsidRDefault="0016254A" w:rsidP="003118B3">
      <w:pPr>
        <w:widowControl w:val="0"/>
        <w:spacing w:line="276" w:lineRule="auto"/>
        <w:ind w:firstLine="709"/>
        <w:jc w:val="both"/>
        <w:rPr>
          <w:rFonts w:ascii="Times New Roman" w:hAnsi="Times New Roman" w:cs="Times New Roman"/>
          <w:sz w:val="24"/>
          <w:szCs w:val="24"/>
        </w:rPr>
      </w:pPr>
    </w:p>
    <w:p w:rsidR="00F1337F" w:rsidRPr="003118B3" w:rsidRDefault="0016254A" w:rsidP="003118B3">
      <w:pPr>
        <w:pStyle w:val="Nadpis1"/>
      </w:pPr>
      <w:bookmarkStart w:id="93" w:name="_Toc331023994"/>
      <w:r w:rsidRPr="003118B3">
        <w:t>Environmentální a socioekonomické dopady produkce biopaliv na rozvojové země – case study Indonésie</w:t>
      </w:r>
      <w:bookmarkEnd w:id="93"/>
    </w:p>
    <w:p w:rsidR="003118B3" w:rsidRDefault="003118B3" w:rsidP="003118B3">
      <w:pPr>
        <w:widowControl w:val="0"/>
        <w:spacing w:line="276" w:lineRule="auto"/>
        <w:jc w:val="both"/>
        <w:rPr>
          <w:rFonts w:ascii="Times New Roman" w:eastAsia="Times New Roman" w:hAnsi="Times New Roman" w:cs="Times New Roman"/>
          <w:bCs/>
          <w:i/>
          <w:sz w:val="24"/>
          <w:szCs w:val="24"/>
          <w:lang w:eastAsia="cs-CZ"/>
        </w:rPr>
      </w:pPr>
    </w:p>
    <w:p w:rsidR="0016254A" w:rsidRDefault="003118B3" w:rsidP="003118B3">
      <w:pPr>
        <w:widowControl w:val="0"/>
        <w:spacing w:line="276" w:lineRule="auto"/>
        <w:jc w:val="center"/>
        <w:rPr>
          <w:rFonts w:ascii="Times New Roman" w:eastAsia="Times New Roman" w:hAnsi="Times New Roman" w:cs="Times New Roman"/>
          <w:bCs/>
          <w:i/>
          <w:sz w:val="24"/>
          <w:szCs w:val="24"/>
          <w:lang w:eastAsia="cs-CZ"/>
        </w:rPr>
      </w:pPr>
      <w:r>
        <w:rPr>
          <w:rFonts w:ascii="Times New Roman" w:eastAsia="Times New Roman" w:hAnsi="Times New Roman" w:cs="Times New Roman"/>
          <w:bCs/>
          <w:i/>
          <w:sz w:val="24"/>
          <w:szCs w:val="24"/>
          <w:lang w:eastAsia="cs-CZ"/>
        </w:rPr>
        <w:t>J</w:t>
      </w:r>
      <w:r w:rsidR="0016254A" w:rsidRPr="003118B3">
        <w:rPr>
          <w:rFonts w:ascii="Times New Roman" w:eastAsia="Times New Roman" w:hAnsi="Times New Roman" w:cs="Times New Roman"/>
          <w:bCs/>
          <w:i/>
          <w:sz w:val="24"/>
          <w:szCs w:val="24"/>
          <w:lang w:eastAsia="cs-CZ"/>
        </w:rPr>
        <w:t>an Blažek</w:t>
      </w:r>
    </w:p>
    <w:p w:rsidR="003118B3" w:rsidRPr="003118B3" w:rsidRDefault="003118B3" w:rsidP="003118B3">
      <w:pPr>
        <w:widowControl w:val="0"/>
        <w:spacing w:line="276" w:lineRule="auto"/>
        <w:jc w:val="center"/>
        <w:rPr>
          <w:rFonts w:ascii="Times New Roman" w:eastAsia="Times New Roman" w:hAnsi="Times New Roman" w:cs="Times New Roman"/>
          <w:bCs/>
          <w:i/>
          <w:sz w:val="24"/>
          <w:szCs w:val="24"/>
          <w:lang w:eastAsia="cs-CZ"/>
        </w:rPr>
      </w:pPr>
    </w:p>
    <w:p w:rsidR="0016254A" w:rsidRPr="00F600AF" w:rsidRDefault="0016254A" w:rsidP="003118B3">
      <w:pPr>
        <w:widowControl w:val="0"/>
        <w:spacing w:line="276" w:lineRule="auto"/>
        <w:ind w:firstLine="709"/>
        <w:jc w:val="both"/>
        <w:rPr>
          <w:rFonts w:ascii="Times New Roman" w:hAnsi="Times New Roman" w:cs="Times New Roman"/>
          <w:sz w:val="24"/>
          <w:szCs w:val="24"/>
        </w:rPr>
      </w:pPr>
      <w:r w:rsidRPr="00F600AF">
        <w:rPr>
          <w:rFonts w:ascii="Times New Roman" w:hAnsi="Times New Roman" w:cs="Times New Roman"/>
          <w:sz w:val="24"/>
          <w:szCs w:val="24"/>
        </w:rPr>
        <w:t>Produkce biopaliv znamenala příslib pro světovou společnost, jejíž energetika byla založena na docházejících fosilních palivech, jejichž ceny rostou, produkce i spotřeba je krajně neekologická a boj o zdroje má dodnes velké geopolitické dopady. Předpokladem bylo, že biopaliva napomůžou snižování rizik a hospodářských fluktuací, a to bez nutnosti změnit současné spotřební návyky, politickou průchodnost pak zajistí dostatečný politický kapitál pro obnovitelnou energii a trvalou udržitelnost ve společnosti 21. století. Globální rozšíření produkce a povinné zavádění biopaliv (EU, USA) však má v posledních letech dopady zejména na rozvojové země, jejichž produkce je často závislá na monokulturním zemědělství budoucích biopaliv. Fluktuace cen na trzích potravin i ropy, problém hladu, pokles biodiverzity, půdní eroze, exploatace místních komunit a jejich zdrojů a následné násilí a boj o moc a další sociálněekonomické a environmentální dopady produkce biopaliv měly za následek diskuzi, zda je tato obnovitelná energie trvale udržitelnou a vhodnou alternativou. Nemluvě o tom, že slibovaný pokles produkce CO</w:t>
      </w:r>
      <w:r w:rsidRPr="003118B3">
        <w:rPr>
          <w:rFonts w:ascii="Times New Roman" w:hAnsi="Times New Roman" w:cs="Times New Roman"/>
          <w:sz w:val="24"/>
          <w:szCs w:val="24"/>
        </w:rPr>
        <w:t>2</w:t>
      </w:r>
      <w:r w:rsidRPr="00F600AF">
        <w:rPr>
          <w:rFonts w:ascii="Times New Roman" w:hAnsi="Times New Roman" w:cs="Times New Roman"/>
          <w:sz w:val="24"/>
          <w:szCs w:val="24"/>
        </w:rPr>
        <w:t xml:space="preserve"> je diskutabilní.</w:t>
      </w:r>
    </w:p>
    <w:p w:rsidR="0016254A" w:rsidRDefault="0016254A" w:rsidP="003118B3">
      <w:pPr>
        <w:widowControl w:val="0"/>
        <w:spacing w:line="276" w:lineRule="auto"/>
        <w:ind w:firstLine="709"/>
        <w:jc w:val="both"/>
        <w:rPr>
          <w:rFonts w:ascii="Times New Roman" w:hAnsi="Times New Roman" w:cs="Times New Roman"/>
          <w:sz w:val="24"/>
          <w:szCs w:val="24"/>
        </w:rPr>
      </w:pPr>
      <w:r w:rsidRPr="00F600AF">
        <w:rPr>
          <w:rFonts w:ascii="Times New Roman" w:hAnsi="Times New Roman" w:cs="Times New Roman"/>
          <w:sz w:val="24"/>
          <w:szCs w:val="24"/>
        </w:rPr>
        <w:t>Tato práce si klade za cíl analyzovat dopady produkce biopaliv v rámci případové studie vybrané rozvojové země – Indonésie. Protože se jedná o globální problém, je nejprve nutné uvést do tématu, vysvětlit vývoj a procesy na světových trzích, poukázat na hlavní producenty a pokusit se vymezit stanoviska a postupy zemí Severu a Jihu.</w:t>
      </w:r>
      <w:r w:rsidRPr="003118B3">
        <w:rPr>
          <w:rFonts w:ascii="Times New Roman" w:hAnsi="Times New Roman" w:cs="Times New Roman"/>
        </w:rPr>
        <w:footnoteReference w:id="64"/>
      </w:r>
      <w:r w:rsidRPr="00F600AF">
        <w:rPr>
          <w:rFonts w:ascii="Times New Roman" w:hAnsi="Times New Roman" w:cs="Times New Roman"/>
          <w:sz w:val="24"/>
          <w:szCs w:val="24"/>
        </w:rPr>
        <w:t xml:space="preserve"> V druhé části se pokusím o detailnější rozbor indonéské produkce biopaliv a jejich dopadů, přestože tuším, že rozsah práce neumožňuje dostatečnou analýzu, která by práci povýšila nad pouhé zhodnocení událostí předchozích let.</w:t>
      </w:r>
    </w:p>
    <w:p w:rsidR="0016254A"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E244EA">
      <w:pPr>
        <w:pStyle w:val="Nadpis1"/>
        <w:ind w:firstLine="0"/>
        <w:jc w:val="left"/>
      </w:pPr>
      <w:bookmarkStart w:id="94" w:name="_Toc331023995"/>
      <w:r w:rsidRPr="003118B3">
        <w:t>Důvody vedoucí k produkci biopaliv</w:t>
      </w:r>
      <w:bookmarkEnd w:id="94"/>
    </w:p>
    <w:p w:rsidR="0016254A" w:rsidRDefault="0016254A" w:rsidP="003118B3">
      <w:pPr>
        <w:widowControl w:val="0"/>
        <w:spacing w:line="276" w:lineRule="auto"/>
        <w:ind w:firstLine="709"/>
        <w:jc w:val="both"/>
        <w:rPr>
          <w:rFonts w:ascii="Times New Roman" w:hAnsi="Times New Roman" w:cs="Times New Roman"/>
          <w:sz w:val="24"/>
          <w:szCs w:val="24"/>
        </w:rPr>
      </w:pPr>
      <w:r w:rsidRPr="00F600AF">
        <w:rPr>
          <w:rFonts w:ascii="Times New Roman" w:hAnsi="Times New Roman" w:cs="Times New Roman"/>
          <w:sz w:val="24"/>
          <w:szCs w:val="24"/>
        </w:rPr>
        <w:t>Povinné zavádění biopaliv v EU a USA (20% podíl obnovitelných zdrojů na spotřebě a 10% biopaliva v silniční dopravě v EU do roku 2020</w:t>
      </w:r>
      <w:r w:rsidRPr="003118B3">
        <w:rPr>
          <w:rFonts w:ascii="Times New Roman" w:hAnsi="Times New Roman" w:cs="Times New Roman"/>
        </w:rPr>
        <w:footnoteReference w:id="65"/>
      </w:r>
      <w:r w:rsidRPr="00F600AF">
        <w:rPr>
          <w:rFonts w:ascii="Times New Roman" w:hAnsi="Times New Roman" w:cs="Times New Roman"/>
          <w:sz w:val="24"/>
          <w:szCs w:val="24"/>
        </w:rPr>
        <w:t>) vedlo k masové produkci biopaliv zejména v rozvojovém světě, přestože prvotní myšlenkou byla energetická soběstačnost západního světa, kterou můžeme chápat jako geopolitickou snahu snížit závislost na zemích bohatých na fosilní zdroje (Blízký východ, Rusko), nebo také jako rozšíření potravinové soběstačnosti (Společná zemědělská politika EU).</w:t>
      </w:r>
      <w:r w:rsidRPr="003118B3">
        <w:rPr>
          <w:rFonts w:ascii="Times New Roman" w:hAnsi="Times New Roman" w:cs="Times New Roman"/>
        </w:rPr>
        <w:footnoteReference w:id="66"/>
      </w:r>
      <w:r w:rsidRPr="00F600AF">
        <w:rPr>
          <w:rFonts w:ascii="Times New Roman" w:hAnsi="Times New Roman" w:cs="Times New Roman"/>
          <w:sz w:val="24"/>
          <w:szCs w:val="24"/>
        </w:rPr>
        <w:t xml:space="preserve"> Globální spotřeba biopaliv by tak dle těchto premis měla vzrůst ze 70 mld. litrů v roce 2008 na 250 mld. litrů v roce 2020.</w:t>
      </w:r>
      <w:r w:rsidRPr="003118B3">
        <w:rPr>
          <w:rFonts w:ascii="Times New Roman" w:hAnsi="Times New Roman" w:cs="Times New Roman"/>
        </w:rPr>
        <w:footnoteReference w:id="67"/>
      </w:r>
      <w:r w:rsidRPr="00F600AF">
        <w:rPr>
          <w:rFonts w:ascii="Times New Roman" w:hAnsi="Times New Roman" w:cs="Times New Roman"/>
          <w:sz w:val="24"/>
          <w:szCs w:val="24"/>
        </w:rPr>
        <w:t xml:space="preserve"> </w:t>
      </w:r>
      <w:r w:rsidRPr="00F600AF">
        <w:rPr>
          <w:rFonts w:ascii="Times New Roman" w:hAnsi="Times New Roman" w:cs="Times New Roman"/>
          <w:sz w:val="24"/>
          <w:szCs w:val="24"/>
        </w:rPr>
        <w:lastRenderedPageBreak/>
        <w:t>Z vyspělých zemí se tak rázem na začátku milénia stali největší producenti biopaliv</w:t>
      </w:r>
      <w:r w:rsidRPr="003118B3">
        <w:rPr>
          <w:rFonts w:ascii="Times New Roman" w:hAnsi="Times New Roman" w:cs="Times New Roman"/>
        </w:rPr>
        <w:footnoteReference w:id="68"/>
      </w:r>
      <w:r w:rsidRPr="00F600AF">
        <w:rPr>
          <w:rFonts w:ascii="Times New Roman" w:hAnsi="Times New Roman" w:cs="Times New Roman"/>
          <w:sz w:val="24"/>
          <w:szCs w:val="24"/>
        </w:rPr>
        <w:t>, progresivní cíle však brzy vytvořily tlak na dodatečné importy a samotná EU se již v roce 2008 stala čistým importérem biopaliv. Tato poptávka vytvořila z Brazílie (následované Argentinou) největšího světového exportéra (zejména do USA) bioetanolu z cukrové třtiny a zároveň 2. největšího producenta po USA.</w:t>
      </w:r>
      <w:r w:rsidRPr="003118B3">
        <w:rPr>
          <w:rFonts w:ascii="Times New Roman" w:hAnsi="Times New Roman" w:cs="Times New Roman"/>
        </w:rPr>
        <w:footnoteReference w:id="69"/>
      </w:r>
      <w:r w:rsidRPr="00F600AF">
        <w:rPr>
          <w:rFonts w:ascii="Times New Roman" w:hAnsi="Times New Roman" w:cs="Times New Roman"/>
          <w:sz w:val="24"/>
          <w:szCs w:val="24"/>
        </w:rPr>
        <w:t xml:space="preserve"> V olejninách je rovněž Brazílie na vrcholu, poptávka je však tažená EU. Brazílie se stala první udržitelnou ekonomikou založenou (nejen) na biopalivech. Její politika je totiž následující: investoři jsou domácí, země se snaží potlačit problémy s land-use, pracovníci jsou placeni nad minimální mzdu, apod. V ostatních zemích (zejména JV Asie a Afriky) jsou tyto předpoklady a podmínky povětšinou odlišné, a proto se největší problémy dějí právě zde.</w:t>
      </w:r>
    </w:p>
    <w:p w:rsidR="00E244EA" w:rsidRPr="00F600AF" w:rsidRDefault="00E244E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E244EA">
      <w:pPr>
        <w:pStyle w:val="Nadpis1"/>
        <w:ind w:firstLine="0"/>
        <w:jc w:val="left"/>
      </w:pPr>
      <w:bookmarkStart w:id="95" w:name="_Toc331023996"/>
      <w:r w:rsidRPr="003118B3">
        <w:t>Dopady produkce biopaliv</w:t>
      </w:r>
      <w:bookmarkEnd w:id="95"/>
    </w:p>
    <w:p w:rsidR="0016254A" w:rsidRPr="003118B3" w:rsidRDefault="0016254A" w:rsidP="00E244EA">
      <w:pPr>
        <w:pStyle w:val="Nadpis1"/>
        <w:ind w:firstLine="0"/>
        <w:jc w:val="left"/>
      </w:pPr>
      <w:bookmarkStart w:id="96" w:name="_Toc331023997"/>
      <w:r w:rsidRPr="003118B3">
        <w:t>Cenový růst</w:t>
      </w:r>
      <w:bookmarkEnd w:id="96"/>
    </w:p>
    <w:p w:rsidR="0016254A" w:rsidRPr="00F600AF" w:rsidRDefault="0016254A" w:rsidP="003118B3">
      <w:pPr>
        <w:widowControl w:val="0"/>
        <w:spacing w:line="276" w:lineRule="auto"/>
        <w:ind w:firstLine="709"/>
        <w:jc w:val="both"/>
        <w:rPr>
          <w:rFonts w:ascii="Times New Roman" w:hAnsi="Times New Roman" w:cs="Times New Roman"/>
          <w:sz w:val="24"/>
          <w:szCs w:val="24"/>
        </w:rPr>
      </w:pPr>
      <w:r w:rsidRPr="00F600AF">
        <w:rPr>
          <w:rFonts w:ascii="Times New Roman" w:hAnsi="Times New Roman" w:cs="Times New Roman"/>
          <w:sz w:val="24"/>
          <w:szCs w:val="24"/>
        </w:rPr>
        <w:t>Zvyšující se poptávka po biopalivech zvyšuje ceny komodit.</w:t>
      </w:r>
      <w:r w:rsidRPr="003118B3">
        <w:rPr>
          <w:rFonts w:ascii="Times New Roman" w:hAnsi="Times New Roman" w:cs="Times New Roman"/>
        </w:rPr>
        <w:footnoteReference w:id="70"/>
      </w:r>
      <w:r w:rsidRPr="00F600AF">
        <w:rPr>
          <w:rFonts w:ascii="Times New Roman" w:hAnsi="Times New Roman" w:cs="Times New Roman"/>
          <w:sz w:val="24"/>
          <w:szCs w:val="24"/>
        </w:rPr>
        <w:t xml:space="preserve"> Ceny zemědělských plodin jsou čím dál více napojeny na ceny ropy (přímo i nepřímo – cenou ropy, umělých hnojiv). Nestálé ceny ropy tak mohou mít za následek nestálost i na zemědělských trzích (s potravinami i biopalivy). Zvyšující se podíl biopaliv na produkci jednotlivých plodin navíc zvyšuje jejich poptávku i nabídku a tak i cenu na světových trzích. Pokud jsou ceny ropy vysoké a hodnota plodin na trzích s biopalivy je větší, než na trzích s potravinami, dodatečná produkce biopaliv bude opět tlačit na vyšší ceny těchto plodin a jídla. Pro země z nejméně rozvinutých, které jsou často právě na monokulturním zemědělství (ať už k obživě nebo jako biopalivo) závislé, je napojení na volatilní trhy s ropou velmi nebezpečné. Světová potravinová krize v roce 2008, která měla za následek hladovění až 30 mil. lidí, pak byla dle mnoha studií z velké části vytvořena právě zvyšující se produkcí biopaliv.</w:t>
      </w:r>
      <w:r w:rsidRPr="003118B3">
        <w:rPr>
          <w:rFonts w:ascii="Times New Roman" w:hAnsi="Times New Roman" w:cs="Times New Roman"/>
        </w:rPr>
        <w:footnoteReference w:id="71"/>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Land-use</w:t>
      </w:r>
    </w:p>
    <w:p w:rsidR="0016254A" w:rsidRPr="00F600AF" w:rsidRDefault="0016254A" w:rsidP="003118B3">
      <w:pPr>
        <w:widowControl w:val="0"/>
        <w:spacing w:line="276" w:lineRule="auto"/>
        <w:ind w:firstLine="709"/>
        <w:jc w:val="both"/>
        <w:rPr>
          <w:rFonts w:ascii="Times New Roman" w:hAnsi="Times New Roman" w:cs="Times New Roman"/>
          <w:sz w:val="24"/>
          <w:szCs w:val="24"/>
        </w:rPr>
      </w:pPr>
      <w:r w:rsidRPr="00F600AF">
        <w:rPr>
          <w:rFonts w:ascii="Times New Roman" w:hAnsi="Times New Roman" w:cs="Times New Roman"/>
          <w:sz w:val="24"/>
          <w:szCs w:val="24"/>
        </w:rPr>
        <w:t>Dopady na land-use jsou dvojího typu – socioekonomické a environmentální, avšak obojí se v podstatě prolínají. Obecně vzato, není tolik tíživé, jaké plodiny jsou pěstovány</w:t>
      </w:r>
      <w:r w:rsidRPr="003118B3">
        <w:rPr>
          <w:rFonts w:ascii="Times New Roman" w:hAnsi="Times New Roman" w:cs="Times New Roman"/>
        </w:rPr>
        <w:footnoteReference w:id="72"/>
      </w:r>
      <w:r w:rsidRPr="00F600AF">
        <w:rPr>
          <w:rFonts w:ascii="Times New Roman" w:hAnsi="Times New Roman" w:cs="Times New Roman"/>
          <w:sz w:val="24"/>
          <w:szCs w:val="24"/>
        </w:rPr>
        <w:t>, jakožto jejich masová monokulturní produkce, která vytváří tlak na zábor půdy místním obyvatelům a přetváří pastviny a lesy na zemědělskou půdu.</w:t>
      </w:r>
    </w:p>
    <w:p w:rsidR="0016254A" w:rsidRPr="00F600AF" w:rsidRDefault="0016254A" w:rsidP="003118B3">
      <w:pPr>
        <w:widowControl w:val="0"/>
        <w:spacing w:line="276" w:lineRule="auto"/>
        <w:ind w:firstLine="709"/>
        <w:jc w:val="both"/>
        <w:rPr>
          <w:rFonts w:ascii="Times New Roman" w:hAnsi="Times New Roman" w:cs="Times New Roman"/>
          <w:sz w:val="24"/>
          <w:szCs w:val="24"/>
        </w:rPr>
      </w:pPr>
      <w:r w:rsidRPr="00F600AF">
        <w:rPr>
          <w:rFonts w:ascii="Times New Roman" w:hAnsi="Times New Roman" w:cs="Times New Roman"/>
          <w:sz w:val="24"/>
          <w:szCs w:val="24"/>
        </w:rPr>
        <w:t xml:space="preserve">Tyto zábory na úkor místních komunit často ze stran zahraničních investorů (západních či čínských) jsou stále častější v Africe i JV Asii, a to bez ohledu na závislost místních lidí na půdě a přírodních zdrojích, bez dostatečné kompenzace a také bez plného </w:t>
      </w:r>
      <w:r w:rsidRPr="00F600AF">
        <w:rPr>
          <w:rFonts w:ascii="Times New Roman" w:hAnsi="Times New Roman" w:cs="Times New Roman"/>
          <w:sz w:val="24"/>
          <w:szCs w:val="24"/>
        </w:rPr>
        <w:lastRenderedPageBreak/>
        <w:t>uvědomění lokálních ekologických rizik, jakými jsou pokles biodiverzity a degradace půdy.</w:t>
      </w:r>
      <w:r w:rsidRPr="003118B3">
        <w:rPr>
          <w:rFonts w:ascii="Times New Roman" w:hAnsi="Times New Roman" w:cs="Times New Roman"/>
        </w:rPr>
        <w:footnoteReference w:id="73"/>
      </w:r>
      <w:r w:rsidRPr="00F600AF">
        <w:rPr>
          <w:rFonts w:ascii="Times New Roman" w:hAnsi="Times New Roman" w:cs="Times New Roman"/>
          <w:sz w:val="24"/>
          <w:szCs w:val="24"/>
        </w:rPr>
        <w:t xml:space="preserve"> Až třetina těchto procesů půjček a prodejů půdy má za následek právě produkce biopaliv.</w:t>
      </w:r>
      <w:r w:rsidRPr="003118B3">
        <w:rPr>
          <w:rFonts w:ascii="Times New Roman" w:hAnsi="Times New Roman" w:cs="Times New Roman"/>
        </w:rPr>
        <w:footnoteReference w:id="74"/>
      </w:r>
      <w:r w:rsidRPr="00F600AF">
        <w:rPr>
          <w:rFonts w:ascii="Times New Roman" w:hAnsi="Times New Roman" w:cs="Times New Roman"/>
          <w:sz w:val="24"/>
          <w:szCs w:val="24"/>
        </w:rPr>
        <w:t xml:space="preserve"> Nové plantáže se nejčastěji vytváří deforestací, díky které ztrácíme cenné přírodní zdroje, jakožto přirozené prostředí pro faunu i floru. Navíc deforestací se dále zvyšuje emise skleníkových plynů. Ta je však závislá na několika aspektech: typ plodiny, množství energie na dopravu a zpracování, výnosnost na hektar, apod. Studie tvrdí, že pro některé plodiny je jejich produkce energeticky více náročná, než pro ekvivalent fosilního zdroje, navíc zábory půdy jsou mnohem větší u biopaliv.</w:t>
      </w:r>
      <w:r w:rsidRPr="003118B3">
        <w:rPr>
          <w:rFonts w:ascii="Times New Roman" w:hAnsi="Times New Roman" w:cs="Times New Roman"/>
        </w:rPr>
        <w:footnoteReference w:id="75"/>
      </w:r>
      <w:r w:rsidRPr="00F600AF">
        <w:rPr>
          <w:rFonts w:ascii="Times New Roman" w:hAnsi="Times New Roman" w:cs="Times New Roman"/>
          <w:sz w:val="24"/>
          <w:szCs w:val="24"/>
        </w:rPr>
        <w:t xml:space="preserve"> Plodiny jako je jatropha či cukrová třtina jsou navíc velmi náročné na vodu a potřebují pesticidy.</w:t>
      </w:r>
      <w:r w:rsidRPr="003118B3">
        <w:rPr>
          <w:rFonts w:ascii="Times New Roman" w:hAnsi="Times New Roman" w:cs="Times New Roman"/>
        </w:rPr>
        <w:footnoteReference w:id="76"/>
      </w:r>
      <w:r w:rsidRPr="00F600AF">
        <w:rPr>
          <w:rFonts w:ascii="Times New Roman" w:hAnsi="Times New Roman" w:cs="Times New Roman"/>
          <w:sz w:val="24"/>
          <w:szCs w:val="24"/>
        </w:rPr>
        <w:t xml:space="preserve"> Někteří argumentují tím, že je stále mnoho okrajové a opuštěné půdy vhodné pro produkci biopaliv. Tato území jsou však domovem pro stovky milionů lidí, kteří žijí tradičním způsobem hospodaření, extenzivním pastevectvím a rotačním systémem kultivace, na čemž jsou nejen závislí, ale také tím udržují biodiverzitu a chrání lokální ekosystémy.</w:t>
      </w:r>
    </w:p>
    <w:p w:rsidR="0016254A" w:rsidRPr="00F600AF" w:rsidRDefault="0016254A" w:rsidP="003118B3">
      <w:pPr>
        <w:widowControl w:val="0"/>
        <w:spacing w:line="276" w:lineRule="auto"/>
        <w:ind w:firstLine="709"/>
        <w:jc w:val="both"/>
        <w:rPr>
          <w:rFonts w:ascii="Times New Roman" w:hAnsi="Times New Roman" w:cs="Times New Roman"/>
          <w:sz w:val="24"/>
          <w:szCs w:val="24"/>
        </w:rPr>
      </w:pPr>
      <w:r w:rsidRPr="00F600AF">
        <w:rPr>
          <w:rFonts w:ascii="Times New Roman" w:hAnsi="Times New Roman" w:cs="Times New Roman"/>
          <w:sz w:val="24"/>
          <w:szCs w:val="24"/>
        </w:rPr>
        <w:t>Je však nutné zmínit, že inovace v produkci biopaliv a jejich šetrné a důsledné pěstování na vhodných plochách může mít za následek pokles emisí skleníkových plynů. Druhá a třetí generace plodin sice není zatím příliš hojně využívána, nicméně je možné, že díky procesu ukládání CO</w:t>
      </w:r>
      <w:r w:rsidRPr="003118B3">
        <w:rPr>
          <w:rFonts w:ascii="Times New Roman" w:hAnsi="Times New Roman" w:cs="Times New Roman"/>
          <w:sz w:val="24"/>
          <w:szCs w:val="24"/>
        </w:rPr>
        <w:t>2</w:t>
      </w:r>
      <w:r w:rsidRPr="00F600AF">
        <w:rPr>
          <w:rFonts w:ascii="Times New Roman" w:hAnsi="Times New Roman" w:cs="Times New Roman"/>
          <w:sz w:val="24"/>
          <w:szCs w:val="24"/>
        </w:rPr>
        <w:t xml:space="preserve"> do půdy skrze kořeny a sklízení pouze nadzemních částí by celkový dopad na prostředí mohl být pozitivní (viz. Ambali et al 2010: 1-8 nebo EFMN 2008).</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CASE STUDY – INDONÉSIE</w:t>
      </w:r>
    </w:p>
    <w:p w:rsidR="0016254A" w:rsidRPr="00F600AF" w:rsidRDefault="0016254A" w:rsidP="003118B3">
      <w:pPr>
        <w:widowControl w:val="0"/>
        <w:spacing w:line="276" w:lineRule="auto"/>
        <w:ind w:firstLine="709"/>
        <w:jc w:val="both"/>
        <w:rPr>
          <w:rFonts w:ascii="Times New Roman" w:hAnsi="Times New Roman" w:cs="Times New Roman"/>
          <w:sz w:val="24"/>
          <w:szCs w:val="24"/>
        </w:rPr>
      </w:pPr>
      <w:r w:rsidRPr="00F600AF">
        <w:rPr>
          <w:rFonts w:ascii="Times New Roman" w:hAnsi="Times New Roman" w:cs="Times New Roman"/>
          <w:sz w:val="24"/>
          <w:szCs w:val="24"/>
        </w:rPr>
        <w:t>Nyní bych se pokusil podívat se blíže na situaci v Indonésii. Nejprve opět uvedu několik dat a obecných tezí, které obhajují/vyvrací produkci biopaliv v této lokalitě, v další části textu se pozastavím u konkrétních environmentálních a socioekonomických dopadů v Indonésii, které sice rozděluji do dvou podkapitol, jak již jsem ale uvedl dříve, obě sféry jsou velmi propojeny.</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Produkce biopaliv v Indonésii</w:t>
      </w:r>
    </w:p>
    <w:p w:rsidR="0016254A" w:rsidRPr="00F600AF" w:rsidRDefault="0016254A" w:rsidP="003118B3">
      <w:pPr>
        <w:widowControl w:val="0"/>
        <w:spacing w:line="276" w:lineRule="auto"/>
        <w:ind w:firstLine="709"/>
        <w:jc w:val="both"/>
        <w:rPr>
          <w:rFonts w:ascii="Times New Roman" w:hAnsi="Times New Roman" w:cs="Times New Roman"/>
          <w:sz w:val="24"/>
          <w:szCs w:val="24"/>
        </w:rPr>
      </w:pPr>
      <w:r w:rsidRPr="00F600AF">
        <w:rPr>
          <w:rFonts w:ascii="Times New Roman" w:hAnsi="Times New Roman" w:cs="Times New Roman"/>
          <w:sz w:val="24"/>
          <w:szCs w:val="24"/>
        </w:rPr>
        <w:t>Země se diferencuje v produkci na palmu olejnou (která je používána i jako potravina a krmivo) a jatrophu (nejedlá plodina). Jatropha je typická většími výnosy z rozsahu, palma olejná má v zemi větší tradici již od dob nizozemské kolonizace. Indonésie je největším světovým producentem palmy olejné (společně s Malajsií tvoří jejich podíl na světové produkci 84 %</w:t>
      </w:r>
      <w:r w:rsidRPr="003118B3">
        <w:rPr>
          <w:rFonts w:ascii="Times New Roman" w:hAnsi="Times New Roman" w:cs="Times New Roman"/>
        </w:rPr>
        <w:footnoteReference w:id="77"/>
      </w:r>
      <w:r w:rsidRPr="00F600AF">
        <w:rPr>
          <w:rFonts w:ascii="Times New Roman" w:hAnsi="Times New Roman" w:cs="Times New Roman"/>
          <w:sz w:val="24"/>
          <w:szCs w:val="24"/>
        </w:rPr>
        <w:t>). V roce 2008 zde bylo 7,3 mil. ha plantáží a dalších 18 mil. ha bylo přetvořeno a připraveno. Navíc je dalších 20 mil. ha plánováno. V roce 2009 bylo v zemi 10 mil. ha jatrophy. (Colbran 2011: 64). V roce 2007 bylo v zemi vytvořeno 520 tis. tun biodieselu. (Jayed 2010: 222). Exportními zeměmi, ale také důležitými investory jsou zejména EU, USA a Austrálie, v poslední době i Čína.</w:t>
      </w:r>
      <w:r w:rsidRPr="003118B3">
        <w:rPr>
          <w:rFonts w:ascii="Times New Roman" w:hAnsi="Times New Roman" w:cs="Times New Roman"/>
        </w:rPr>
        <w:footnoteReference w:id="78"/>
      </w:r>
      <w:r w:rsidRPr="00F600AF">
        <w:rPr>
          <w:rFonts w:ascii="Times New Roman" w:hAnsi="Times New Roman" w:cs="Times New Roman"/>
          <w:sz w:val="24"/>
          <w:szCs w:val="24"/>
        </w:rPr>
        <w:t xml:space="preserve"> V roce 2007 Indonésie podepsala dohodu s Brazílií o technologické výpomoci v diverzifikaci produkce biopaliv z biodieselu </w:t>
      </w:r>
      <w:r w:rsidRPr="00F600AF">
        <w:rPr>
          <w:rFonts w:ascii="Times New Roman" w:hAnsi="Times New Roman" w:cs="Times New Roman"/>
          <w:sz w:val="24"/>
          <w:szCs w:val="24"/>
        </w:rPr>
        <w:lastRenderedPageBreak/>
        <w:t>také na etanol z cukrové třtiny a kasavy. Pro tyto dvě plodiny vytvořila dalších 2,2 mil. ha plochy a vláda vydala 1,42 mld. dolarů na subvence místním zemědělcům.</w:t>
      </w:r>
      <w:r w:rsidRPr="003118B3">
        <w:rPr>
          <w:rFonts w:ascii="Times New Roman" w:hAnsi="Times New Roman" w:cs="Times New Roman"/>
        </w:rPr>
        <w:footnoteReference w:id="79"/>
      </w:r>
      <w:r w:rsidRPr="00F600AF">
        <w:rPr>
          <w:rFonts w:ascii="Times New Roman" w:hAnsi="Times New Roman" w:cs="Times New Roman"/>
          <w:sz w:val="24"/>
          <w:szCs w:val="24"/>
        </w:rPr>
        <w:t xml:space="preserve"> Země se tak snaží snížit závislost na ropě a být odolnější proti tržním i přírodním fluktuacím.</w:t>
      </w:r>
    </w:p>
    <w:p w:rsidR="0016254A" w:rsidRPr="00F600AF" w:rsidRDefault="0016254A" w:rsidP="003118B3">
      <w:pPr>
        <w:widowControl w:val="0"/>
        <w:spacing w:line="276" w:lineRule="auto"/>
        <w:ind w:firstLine="709"/>
        <w:jc w:val="both"/>
        <w:rPr>
          <w:rFonts w:ascii="Times New Roman" w:hAnsi="Times New Roman" w:cs="Times New Roman"/>
          <w:sz w:val="24"/>
          <w:szCs w:val="24"/>
        </w:rPr>
      </w:pPr>
      <w:r w:rsidRPr="00F600AF">
        <w:rPr>
          <w:rFonts w:ascii="Times New Roman" w:hAnsi="Times New Roman" w:cs="Times New Roman"/>
          <w:sz w:val="24"/>
          <w:szCs w:val="24"/>
        </w:rPr>
        <w:t>Obecně vzato, hlavními benefity produkce biopaliv měly v Indonésii být pokles chudoby skrze nová pracovní místa (3,5 mil. lidí mělo dostat novou práci)</w:t>
      </w:r>
      <w:r w:rsidRPr="003118B3">
        <w:rPr>
          <w:rFonts w:ascii="Times New Roman" w:hAnsi="Times New Roman" w:cs="Times New Roman"/>
        </w:rPr>
        <w:footnoteReference w:id="80"/>
      </w:r>
      <w:r w:rsidRPr="00F600AF">
        <w:rPr>
          <w:rFonts w:ascii="Times New Roman" w:hAnsi="Times New Roman" w:cs="Times New Roman"/>
          <w:sz w:val="24"/>
          <w:szCs w:val="24"/>
        </w:rPr>
        <w:t>, snížení závislosti na fosilních palivech a snížení subvencí do fosilních zdrojů (přesun spotřeby fosilních paliv na biopaliva o 10 % v roce 2010 a o 25 % v roce 2025 by mělo ušetřit 10 mld. USD na subvencích)</w:t>
      </w:r>
      <w:r w:rsidRPr="003118B3">
        <w:rPr>
          <w:rFonts w:ascii="Times New Roman" w:hAnsi="Times New Roman" w:cs="Times New Roman"/>
        </w:rPr>
        <w:footnoteReference w:id="81"/>
      </w:r>
      <w:r w:rsidRPr="00F600AF">
        <w:rPr>
          <w:rFonts w:ascii="Times New Roman" w:hAnsi="Times New Roman" w:cs="Times New Roman"/>
          <w:sz w:val="24"/>
          <w:szCs w:val="24"/>
        </w:rPr>
        <w:t xml:space="preserve">. </w:t>
      </w:r>
      <w:r>
        <w:rPr>
          <w:rFonts w:ascii="Times New Roman" w:hAnsi="Times New Roman" w:cs="Times New Roman"/>
          <w:sz w:val="24"/>
          <w:szCs w:val="24"/>
        </w:rPr>
        <w:t xml:space="preserve">Navíc se hovořilo o využití marginálních oblastí (v případě jatrophy dokonce o nekonkurenci jedlých plodin, jelikož jatropha se k jídlu nehodí), o dodatečných penězích farmářů i o ochlazování planety. </w:t>
      </w:r>
      <w:r w:rsidRPr="00F600AF">
        <w:rPr>
          <w:rFonts w:ascii="Times New Roman" w:hAnsi="Times New Roman" w:cs="Times New Roman"/>
          <w:sz w:val="24"/>
          <w:szCs w:val="24"/>
        </w:rPr>
        <w:t>Ukázalo se však, že dopady pro místní obyvatele a přírodním prostředí nejsou vůbec zanedbatelné, ať už se jedná o zcizení půdy, potravinový nedostatek, nedodržování zvykového práva, ztráty živobytí, násilné konflikty, exploatace ze stran zaměstnavatelů a degradace ekosystémů. (viz. Colbran 2011: 64).</w:t>
      </w:r>
    </w:p>
    <w:p w:rsidR="0016254A" w:rsidRPr="00F600AF" w:rsidRDefault="0016254A" w:rsidP="003118B3">
      <w:pPr>
        <w:widowControl w:val="0"/>
        <w:spacing w:line="276" w:lineRule="auto"/>
        <w:ind w:firstLine="709"/>
        <w:jc w:val="both"/>
        <w:rPr>
          <w:rFonts w:ascii="Times New Roman" w:hAnsi="Times New Roman" w:cs="Times New Roman"/>
          <w:sz w:val="24"/>
          <w:szCs w:val="24"/>
        </w:rPr>
      </w:pPr>
      <w:r w:rsidRPr="00F600AF">
        <w:rPr>
          <w:rFonts w:ascii="Times New Roman" w:hAnsi="Times New Roman" w:cs="Times New Roman"/>
          <w:sz w:val="24"/>
          <w:szCs w:val="24"/>
        </w:rPr>
        <w:t>Dalšími snahami vlády byla kultivace 5 mil. ha zanedbané půdy a vytvoření sítě až 1000 energeticky soběstačných vesnic. (Jayed 2010: 224)</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Dopady produkce biopaliv v Indonésii</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Socioekonomické dopady</w:t>
      </w:r>
    </w:p>
    <w:p w:rsidR="0016254A" w:rsidRDefault="0016254A" w:rsidP="003118B3">
      <w:pPr>
        <w:widowControl w:val="0"/>
        <w:spacing w:line="276" w:lineRule="auto"/>
        <w:ind w:firstLine="709"/>
        <w:jc w:val="both"/>
        <w:rPr>
          <w:rFonts w:ascii="Times New Roman" w:hAnsi="Times New Roman" w:cs="Times New Roman"/>
          <w:sz w:val="24"/>
          <w:szCs w:val="24"/>
        </w:rPr>
      </w:pPr>
      <w:r w:rsidRPr="00F600AF">
        <w:rPr>
          <w:rFonts w:ascii="Times New Roman" w:hAnsi="Times New Roman" w:cs="Times New Roman"/>
          <w:sz w:val="24"/>
          <w:szCs w:val="24"/>
        </w:rPr>
        <w:t>Většina socioekonomických dopadů se udává na lokální úrovni, mezi místními obyvateli. Některé politiky státu však mají makroekonomické důsledky. Zajímavou politikou státu, která se poměrně vylučuje s antisubvenční snahou, je subvence ceny biopaliv, pokud je tato větší, než je cena fosilních paliv. Vláda se tím snaží u</w:t>
      </w:r>
      <w:r>
        <w:rPr>
          <w:rFonts w:ascii="Times New Roman" w:hAnsi="Times New Roman" w:cs="Times New Roman"/>
          <w:sz w:val="24"/>
          <w:szCs w:val="24"/>
        </w:rPr>
        <w:t>držet stabilní nabídku na trhu.</w:t>
      </w:r>
    </w:p>
    <w:p w:rsidR="0016254A" w:rsidRPr="00F600AF" w:rsidRDefault="0016254A" w:rsidP="003118B3">
      <w:pPr>
        <w:widowControl w:val="0"/>
        <w:spacing w:line="276" w:lineRule="auto"/>
        <w:ind w:firstLine="709"/>
        <w:jc w:val="both"/>
        <w:rPr>
          <w:rFonts w:ascii="Times New Roman" w:hAnsi="Times New Roman" w:cs="Times New Roman"/>
          <w:sz w:val="24"/>
          <w:szCs w:val="24"/>
        </w:rPr>
      </w:pPr>
      <w:r>
        <w:rPr>
          <w:rFonts w:ascii="Times New Roman" w:hAnsi="Times New Roman" w:cs="Times New Roman"/>
          <w:sz w:val="24"/>
          <w:szCs w:val="24"/>
        </w:rPr>
        <w:t>Jatropha je v indonéském podání z velké části zeleným leteckým palivem</w:t>
      </w:r>
      <w:r w:rsidRPr="003118B3">
        <w:rPr>
          <w:rFonts w:ascii="Times New Roman" w:hAnsi="Times New Roman" w:cs="Times New Roman"/>
        </w:rPr>
        <w:footnoteReference w:id="82"/>
      </w:r>
      <w:r>
        <w:rPr>
          <w:rFonts w:ascii="Times New Roman" w:hAnsi="Times New Roman" w:cs="Times New Roman"/>
          <w:sz w:val="24"/>
          <w:szCs w:val="24"/>
        </w:rPr>
        <w:t xml:space="preserve"> pro Lufthansu, Waterland, KLM a další zejména holandské společnosti, proto se někdy hovoří o holandském biokolonialismu. Výsledkem velkých poptávek těchto společností byly velké změny na biopalivové plantáže na úkor plodin pro obživu. Farmáři v podstatě neměli jinou možnost (byli nuceni ze strany vlády), než konvertovat na biopaliva. Energie ale nezůstala pro místní vesnice, jak bylo slibováno. Nedostatek potravin vytvořil v Indonésii past. 20 % devizových rezerv bylo v roce 2010 spotřebováno na import 5 hlavních potravinových komodit.(FOE 2012: 16-18).</w:t>
      </w:r>
    </w:p>
    <w:p w:rsidR="0016254A" w:rsidRPr="00F600AF" w:rsidRDefault="0016254A" w:rsidP="003118B3">
      <w:pPr>
        <w:widowControl w:val="0"/>
        <w:spacing w:line="276" w:lineRule="auto"/>
        <w:ind w:firstLine="709"/>
        <w:jc w:val="both"/>
        <w:rPr>
          <w:rFonts w:ascii="Times New Roman" w:hAnsi="Times New Roman" w:cs="Times New Roman"/>
          <w:sz w:val="24"/>
          <w:szCs w:val="24"/>
        </w:rPr>
      </w:pPr>
      <w:r w:rsidRPr="00F600AF">
        <w:rPr>
          <w:rFonts w:ascii="Times New Roman" w:hAnsi="Times New Roman" w:cs="Times New Roman"/>
          <w:sz w:val="24"/>
          <w:szCs w:val="24"/>
        </w:rPr>
        <w:t xml:space="preserve">Colbran (2011: 70) dále vysvětluje situaci místních farmářů. Předem je nutné vzpomenout, že půda oficiálně patří státu, přestože se již delší dobu mluví o pozemkové reformě. Většina malých vlastníků půdy je nucena přesunout se na 2-4 ha plochu (namísto původních 7-10 ha), v podstatě se jedná o přesun z přírodních či kulturních lesů, polí a pastvin na monokulturní plantáže, na kterých musí dodávat produkci velkým společnostem. Místní komunity se tak namísto soběstačnosti stávají závislými. Kompenzaci za půdu mají místní od stran společností a vlády </w:t>
      </w:r>
      <w:r>
        <w:rPr>
          <w:rFonts w:ascii="Times New Roman" w:hAnsi="Times New Roman" w:cs="Times New Roman"/>
          <w:sz w:val="24"/>
          <w:szCs w:val="24"/>
        </w:rPr>
        <w:t xml:space="preserve">buď za mizivé peníze či </w:t>
      </w:r>
      <w:r w:rsidRPr="00F600AF">
        <w:rPr>
          <w:rFonts w:ascii="Times New Roman" w:hAnsi="Times New Roman" w:cs="Times New Roman"/>
          <w:sz w:val="24"/>
          <w:szCs w:val="24"/>
        </w:rPr>
        <w:t xml:space="preserve">v podobě dluhopisů, dluhy jsou však spláceny dlouhodobě (až na 18 let) a často jsou placeny až ve chvíli, kdy je palma olejná </w:t>
      </w:r>
      <w:r w:rsidRPr="00F600AF">
        <w:rPr>
          <w:rFonts w:ascii="Times New Roman" w:hAnsi="Times New Roman" w:cs="Times New Roman"/>
          <w:sz w:val="24"/>
          <w:szCs w:val="24"/>
        </w:rPr>
        <w:lastRenderedPageBreak/>
        <w:t>produktivní (3-5 let), resp. zisková (8 let). Rostliny jsou navíc produktivní pouze 25 let a pak se proces musí opakovat. Místní farmáři tak sice mají dlužné úpisy, nicméně nemají po několik let příjem. Navíc, jako malí vlastníci půdy to mají daleko k mlýnům a technickým zařízením (mají rovněž nerovné podmínky), přitom je nutné při prvotním zpracování plodinu do dvou dnů do mlýnů přivést, jinak by ztratila na kvalitě. Navíc existují cenové fluktuace a malí vlastníci půdy nemohou s tvorbou ceny nic dělat, jelikož tato je závislá na odběratelském monopsonu.</w:t>
      </w:r>
    </w:p>
    <w:p w:rsidR="0016254A" w:rsidRPr="00F600AF" w:rsidRDefault="0016254A" w:rsidP="003118B3">
      <w:pPr>
        <w:widowControl w:val="0"/>
        <w:spacing w:line="276" w:lineRule="auto"/>
        <w:ind w:firstLine="709"/>
        <w:jc w:val="both"/>
        <w:rPr>
          <w:rFonts w:ascii="Times New Roman" w:hAnsi="Times New Roman" w:cs="Times New Roman"/>
          <w:sz w:val="24"/>
          <w:szCs w:val="24"/>
        </w:rPr>
      </w:pPr>
      <w:r w:rsidRPr="00F600AF">
        <w:rPr>
          <w:rFonts w:ascii="Times New Roman" w:hAnsi="Times New Roman" w:cs="Times New Roman"/>
          <w:sz w:val="24"/>
          <w:szCs w:val="24"/>
        </w:rPr>
        <w:t>Problémem pro místní obyvatele je také zdvojnásobení ceny palmy olejné, která je důležitou součástí stravy. Ve chvíli, kdy lidé musí nuceně přejít ze soběstačného zemědělství, se vzestup tržní ceny projeví na jejich nákladech.</w:t>
      </w:r>
      <w:r>
        <w:rPr>
          <w:rFonts w:ascii="Times New Roman" w:hAnsi="Times New Roman" w:cs="Times New Roman"/>
          <w:sz w:val="24"/>
          <w:szCs w:val="24"/>
        </w:rPr>
        <w:t xml:space="preserve"> Ještě horší dopad má podobná situace na trzích s jatrophou, jelikož ta je dokonce nejedlá, a většina farmářů přešla z produkce kukuřice a jiných plodin pro obživu.</w:t>
      </w:r>
      <w:r w:rsidRPr="00F600AF">
        <w:rPr>
          <w:rFonts w:ascii="Times New Roman" w:hAnsi="Times New Roman" w:cs="Times New Roman"/>
          <w:sz w:val="24"/>
          <w:szCs w:val="24"/>
        </w:rPr>
        <w:t xml:space="preserve"> Co se týče deklarovaného množství nových pracovních pozic, není vůbec jisté, zda jsou vytvářeny vždy a všude, navíc je třeba si uvědomit, že mnoho lidí o práci přichází právě přechodem ze soběstačného samozásobitelství. (Colbran 2011:83-87). Pracovní pozice, jež byly vytvořeny, jsou však většinou typu denní námezdní síly, bez pracovních smluv a se mzdou často pod hranicí minimálních hodnot. (Redamazon 2007).</w:t>
      </w:r>
      <w:r>
        <w:rPr>
          <w:rFonts w:ascii="Times New Roman" w:hAnsi="Times New Roman" w:cs="Times New Roman"/>
          <w:sz w:val="24"/>
          <w:szCs w:val="24"/>
        </w:rPr>
        <w:t xml:space="preserve"> FOE (2012: 6) přichází s hodnotami mzdy sběrače biopalivových plodin. Lidé dostávají až třikrát méně, než při sběru plodin k obživě (0,68€ na den - výzkum v provincii Grobogan na Jávě). Specifický dopad navíc pociťují ženy, jež tradičně sháněli krmivo pro zvířata a dříví v lese, dnes jsou zde jen plantáže, na kterých často právě ženy nedostanou práci vůbec. </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Environmentální dopady</w:t>
      </w:r>
    </w:p>
    <w:p w:rsidR="0016254A" w:rsidRPr="00F600AF" w:rsidRDefault="0016254A" w:rsidP="003118B3">
      <w:pPr>
        <w:widowControl w:val="0"/>
        <w:spacing w:line="276" w:lineRule="auto"/>
        <w:ind w:firstLine="709"/>
        <w:jc w:val="both"/>
        <w:rPr>
          <w:rFonts w:ascii="Times New Roman" w:hAnsi="Times New Roman" w:cs="Times New Roman"/>
          <w:sz w:val="24"/>
          <w:szCs w:val="24"/>
        </w:rPr>
      </w:pPr>
      <w:r w:rsidRPr="00F600AF">
        <w:rPr>
          <w:rFonts w:ascii="Times New Roman" w:hAnsi="Times New Roman" w:cs="Times New Roman"/>
          <w:sz w:val="24"/>
          <w:szCs w:val="24"/>
        </w:rPr>
        <w:t>Největším (a globálním) problémem v Indonésii je deforestace. Země má jedny z největších ploch lesů na světě (120,35 mil. ha; 3. největší po Amazonském pralese a Konžské nížině), avšak jen mezi lety 2000-2005 každým rokem přichází o 1,8 mil. ha (nejrychleji na světě). Lesy jsou nejen zdrojem obživy pro 60-90 mil. lidí, ale také přírodním prostředím pro rozličné druhy fauny a flory. Rogers (2009) dodává, že pokračující trend kácení deštného pralesa by v roce 2022 znamenal ztrátu 98 % původního ekosystému. Poměrně alarmující čísla nabízí i Klute (2008: 1). V roce 1950 bylo zalesněno 84 % Indonésie, díky technologickým možnostem těžby a finančním injekcím v roce 1985 země vykácela třetinu lesů. Když navíc v roce 1997 přišla asijská krize, Suhartova tvrdá ruka vlády skončila, bezpráví a volnost nejen v lesnickém sektoru značila další pokles na 40 %. V dnešní době je zalesněno jen 20 % plochy země. Zbývající lesy jsou hlavně na Kalimantanu, Sumatře a Papui.</w:t>
      </w:r>
      <w:r w:rsidRPr="003118B3">
        <w:rPr>
          <w:rFonts w:ascii="Times New Roman" w:hAnsi="Times New Roman" w:cs="Times New Roman"/>
        </w:rPr>
        <w:footnoteReference w:id="83"/>
      </w:r>
      <w:r w:rsidRPr="00F600AF">
        <w:rPr>
          <w:rFonts w:ascii="Times New Roman" w:hAnsi="Times New Roman" w:cs="Times New Roman"/>
          <w:sz w:val="24"/>
          <w:szCs w:val="24"/>
        </w:rPr>
        <w:t xml:space="preserve"> </w:t>
      </w:r>
    </w:p>
    <w:p w:rsidR="0016254A" w:rsidRPr="00F600AF" w:rsidRDefault="0016254A" w:rsidP="003118B3">
      <w:pPr>
        <w:widowControl w:val="0"/>
        <w:spacing w:line="276" w:lineRule="auto"/>
        <w:ind w:firstLine="709"/>
        <w:jc w:val="both"/>
        <w:rPr>
          <w:rFonts w:ascii="Times New Roman" w:hAnsi="Times New Roman" w:cs="Times New Roman"/>
          <w:sz w:val="24"/>
          <w:szCs w:val="24"/>
        </w:rPr>
      </w:pPr>
      <w:r w:rsidRPr="00F600AF">
        <w:rPr>
          <w:rFonts w:ascii="Times New Roman" w:hAnsi="Times New Roman" w:cs="Times New Roman"/>
          <w:sz w:val="24"/>
          <w:szCs w:val="24"/>
        </w:rPr>
        <w:t>O deštný prales a jeho využití je dnes velký boj mezi těžebními společnostmi, společnostmi na produkci palmy olejné, NGO organizací jako je WWF, a také společností snažících se o CO</w:t>
      </w:r>
      <w:r w:rsidRPr="003118B3">
        <w:rPr>
          <w:rFonts w:ascii="Times New Roman" w:hAnsi="Times New Roman" w:cs="Times New Roman"/>
          <w:sz w:val="24"/>
          <w:szCs w:val="24"/>
        </w:rPr>
        <w:t>2</w:t>
      </w:r>
      <w:r w:rsidRPr="00F600AF">
        <w:rPr>
          <w:rFonts w:ascii="Times New Roman" w:hAnsi="Times New Roman" w:cs="Times New Roman"/>
          <w:sz w:val="24"/>
          <w:szCs w:val="24"/>
        </w:rPr>
        <w:t xml:space="preserve"> kompenzaci (tzv. offsetting). Jedná se sice o instituce s rozličnými záměry, mají však společné to, že z diskuzí a procesů v podstatě vyřazují místní obyvatele, kteří by např. i do snah o snižování CO</w:t>
      </w:r>
      <w:r w:rsidRPr="003118B3">
        <w:rPr>
          <w:rFonts w:ascii="Times New Roman" w:hAnsi="Times New Roman" w:cs="Times New Roman"/>
          <w:sz w:val="24"/>
          <w:szCs w:val="24"/>
        </w:rPr>
        <w:t>2</w:t>
      </w:r>
      <w:r w:rsidRPr="00F600AF">
        <w:rPr>
          <w:rFonts w:ascii="Times New Roman" w:hAnsi="Times New Roman" w:cs="Times New Roman"/>
          <w:sz w:val="24"/>
          <w:szCs w:val="24"/>
        </w:rPr>
        <w:t xml:space="preserve"> emisí mohli promluvit svými znalostmi o udržování pralesa a života v něm.</w:t>
      </w:r>
      <w:r w:rsidRPr="003118B3">
        <w:rPr>
          <w:rFonts w:ascii="Times New Roman" w:hAnsi="Times New Roman" w:cs="Times New Roman"/>
        </w:rPr>
        <w:footnoteReference w:id="84"/>
      </w:r>
      <w:r>
        <w:rPr>
          <w:rFonts w:ascii="Times New Roman" w:hAnsi="Times New Roman" w:cs="Times New Roman"/>
          <w:sz w:val="24"/>
          <w:szCs w:val="24"/>
        </w:rPr>
        <w:t xml:space="preserve"> V zemi funguje tzv. RSPO politika (Round Table on Sustainable </w:t>
      </w:r>
      <w:r>
        <w:rPr>
          <w:rFonts w:ascii="Times New Roman" w:hAnsi="Times New Roman" w:cs="Times New Roman"/>
          <w:sz w:val="24"/>
          <w:szCs w:val="24"/>
        </w:rPr>
        <w:lastRenderedPageBreak/>
        <w:t>Palm Oil), mezi jejíž zakladatele patří i jeden z největších producentů, korporace IOI. RSPO vytváří „zelenou“ reputaci, mají několik standardů a politik, avšak jak naznačuje studie FOE (2010b: 4-5;15-18), tato politika není dostatečně dodržována ani samotnými zakladateli, takže jsou často v rozporu s RSPO i indonéskou vládou. Nemluvě o tom, že RSPO standardy nejsou povinné plošně. IOI v rozporu s regulemi nepoužívají Environmental Impact Assessments, bez kterých by neměli dělat aktivity na půdě, čistí a připravují novou půdu pro plantáže, zabírají lesy, vypalují je, zabírají rašelinnou půdu, apod.</w:t>
      </w:r>
    </w:p>
    <w:p w:rsidR="0016254A" w:rsidRPr="00F600AF" w:rsidRDefault="0016254A" w:rsidP="003118B3">
      <w:pPr>
        <w:widowControl w:val="0"/>
        <w:spacing w:line="276" w:lineRule="auto"/>
        <w:ind w:firstLine="709"/>
        <w:jc w:val="both"/>
        <w:rPr>
          <w:rFonts w:ascii="Times New Roman" w:hAnsi="Times New Roman" w:cs="Times New Roman"/>
          <w:sz w:val="24"/>
          <w:szCs w:val="24"/>
        </w:rPr>
      </w:pPr>
      <w:r w:rsidRPr="00F600AF">
        <w:rPr>
          <w:rFonts w:ascii="Times New Roman" w:hAnsi="Times New Roman" w:cs="Times New Roman"/>
          <w:sz w:val="24"/>
          <w:szCs w:val="24"/>
        </w:rPr>
        <w:t>Monokulturní plantáže značí drastický pokles biodiverzity (max. do 20 % savců může udržitelně žít na plantáži oproti deštnému pralesu), pokles tzv. ekologických statků a služeb, navíc na obnažených slabých lesních půdách je nemožné rotační zemědělství, jelikož nedochází k výživě a hnojení lesem. Je tak nutná permanentní kultivace, což může být pro tradiční místní komunity něco velmi neobvyklého. Kvalita půdy systematicky degraduje díky nízké biodiverzitě, obnaženosti, pesticidům a umělým hnojivům (používají se i velmi toxické herbicidy). Dalším dopadem na udržitelnost ekosystémů jsou samotné plodiny, jatropha je poměrně jedovatý a silně invazivní druh. V neposlední řadě je to boj o vodu. Plantáže spotřebovávají spoustu vody, navíc díky degradaci půdy je zde větší povrchový odtok. Voda je také kontaminována používáním umělých hnojiv a herbicidů. To je zpětně problém i místních obyvatel, kteří mohou trpět nejen nedostatkem vody, ale i intoxikací. (Colbran 2011: 80-86).</w:t>
      </w:r>
    </w:p>
    <w:p w:rsidR="0016254A" w:rsidRPr="00F600AF" w:rsidRDefault="0016254A" w:rsidP="003118B3">
      <w:pPr>
        <w:widowControl w:val="0"/>
        <w:spacing w:line="276" w:lineRule="auto"/>
        <w:ind w:firstLine="709"/>
        <w:jc w:val="both"/>
        <w:rPr>
          <w:rFonts w:ascii="Times New Roman" w:hAnsi="Times New Roman" w:cs="Times New Roman"/>
          <w:sz w:val="24"/>
          <w:szCs w:val="24"/>
        </w:rPr>
      </w:pPr>
      <w:r w:rsidRPr="00F600AF">
        <w:rPr>
          <w:rFonts w:ascii="Times New Roman" w:hAnsi="Times New Roman" w:cs="Times New Roman"/>
          <w:sz w:val="24"/>
          <w:szCs w:val="24"/>
        </w:rPr>
        <w:t xml:space="preserve">Rogers (2009) poukazuje </w:t>
      </w:r>
      <w:r>
        <w:rPr>
          <w:rFonts w:ascii="Times New Roman" w:hAnsi="Times New Roman" w:cs="Times New Roman"/>
          <w:sz w:val="24"/>
          <w:szCs w:val="24"/>
        </w:rPr>
        <w:t>rovněž</w:t>
      </w:r>
      <w:r w:rsidRPr="00F600AF">
        <w:rPr>
          <w:rFonts w:ascii="Times New Roman" w:hAnsi="Times New Roman" w:cs="Times New Roman"/>
          <w:sz w:val="24"/>
          <w:szCs w:val="24"/>
        </w:rPr>
        <w:t xml:space="preserve"> na aspekt emise CO</w:t>
      </w:r>
      <w:r w:rsidRPr="003118B3">
        <w:rPr>
          <w:rFonts w:ascii="Times New Roman" w:hAnsi="Times New Roman" w:cs="Times New Roman"/>
          <w:sz w:val="24"/>
          <w:szCs w:val="24"/>
        </w:rPr>
        <w:t>2</w:t>
      </w:r>
      <w:r w:rsidRPr="00F600AF">
        <w:rPr>
          <w:rFonts w:ascii="Times New Roman" w:hAnsi="Times New Roman" w:cs="Times New Roman"/>
          <w:sz w:val="24"/>
          <w:szCs w:val="24"/>
        </w:rPr>
        <w:t>. Při spotřebě paliva emituje biodiesel jen čtvrtinu množství, co běžný diesel. Avšak při produkci mohou být výsledné emisní hodnoty až desetinásobkem produkce ropy, jelikož plantáže palmy olejné neabsorbují zdaleka tolik CO</w:t>
      </w:r>
      <w:r w:rsidRPr="003118B3">
        <w:rPr>
          <w:rFonts w:ascii="Times New Roman" w:hAnsi="Times New Roman" w:cs="Times New Roman"/>
          <w:sz w:val="24"/>
          <w:szCs w:val="24"/>
        </w:rPr>
        <w:t>2</w:t>
      </w:r>
      <w:r w:rsidRPr="00F600AF">
        <w:rPr>
          <w:rFonts w:ascii="Times New Roman" w:hAnsi="Times New Roman" w:cs="Times New Roman"/>
          <w:sz w:val="24"/>
          <w:szCs w:val="24"/>
        </w:rPr>
        <w:t>, jako deštný prales či rašelinné půdy. Indonésie je dokonce třetím největším emitorem CO</w:t>
      </w:r>
      <w:r w:rsidRPr="003118B3">
        <w:rPr>
          <w:rFonts w:ascii="Times New Roman" w:hAnsi="Times New Roman" w:cs="Times New Roman"/>
          <w:sz w:val="24"/>
          <w:szCs w:val="24"/>
        </w:rPr>
        <w:t>2</w:t>
      </w:r>
      <w:r w:rsidRPr="00F600AF">
        <w:rPr>
          <w:rFonts w:ascii="Times New Roman" w:hAnsi="Times New Roman" w:cs="Times New Roman"/>
          <w:sz w:val="24"/>
          <w:szCs w:val="24"/>
        </w:rPr>
        <w:t xml:space="preserve"> na světě po USA a Číně.</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E244EA">
      <w:pPr>
        <w:pStyle w:val="Nadpis1"/>
        <w:ind w:firstLine="0"/>
        <w:jc w:val="left"/>
      </w:pPr>
      <w:bookmarkStart w:id="97" w:name="_Toc331023998"/>
      <w:r w:rsidRPr="003118B3">
        <w:t>Závěr</w:t>
      </w:r>
      <w:bookmarkEnd w:id="97"/>
    </w:p>
    <w:p w:rsidR="0016254A" w:rsidRDefault="0016254A" w:rsidP="003118B3">
      <w:pPr>
        <w:widowControl w:val="0"/>
        <w:spacing w:line="276" w:lineRule="auto"/>
        <w:ind w:firstLine="709"/>
        <w:jc w:val="both"/>
        <w:rPr>
          <w:rFonts w:ascii="Times New Roman" w:hAnsi="Times New Roman" w:cs="Times New Roman"/>
          <w:sz w:val="24"/>
          <w:szCs w:val="24"/>
        </w:rPr>
      </w:pPr>
      <w:r>
        <w:rPr>
          <w:rFonts w:ascii="Times New Roman" w:hAnsi="Times New Roman" w:cs="Times New Roman"/>
          <w:sz w:val="24"/>
          <w:szCs w:val="24"/>
        </w:rPr>
        <w:t>Závěrečné shrnutí textu o produkci biopaliv s konkrétním zaměřením na Indonésii bych rozdělil do dvou rovin. Nejprve bych zaujal postoj k environmentální otázce produkce. Je třeba říct, že jakákoli monokulturní produkce nemůže být udržitelná a ekologická. Pokud se budou používat inovativní metody a správné plodiny na správných místech (za současného udržení dostatečné úrovně biodiverzity), je zde reálný předpoklad, že biopaliva mohou pomoci v boji za snížení emisí CO</w:t>
      </w:r>
      <w:r w:rsidRPr="003118B3">
        <w:rPr>
          <w:rFonts w:ascii="Times New Roman" w:hAnsi="Times New Roman" w:cs="Times New Roman"/>
          <w:sz w:val="24"/>
          <w:szCs w:val="24"/>
        </w:rPr>
        <w:t>2.</w:t>
      </w:r>
      <w:r>
        <w:rPr>
          <w:rFonts w:ascii="Times New Roman" w:hAnsi="Times New Roman" w:cs="Times New Roman"/>
          <w:sz w:val="24"/>
          <w:szCs w:val="24"/>
        </w:rPr>
        <w:t xml:space="preserve"> Zdaleka však na nich nelze stavět architekturu udržitelných zdrojů energie. Problematická se zdá spíše rostoucí spotřeba energie a rostoucí plány a cíle obnovitelné energie, což bude mít za následek další zábory půdy ve prospěch biopaliv. Socioekonomicky a politicky produkce biopaliv v rozvojovém světě v podstatě kopíruje problémy, které již známe z produkce fosilních paliv. Je zde patrný silný aspekt neokolonialismu, vykořisťování a nebrání ohledů na místní obyvatele za účelem velkého zisku. Stejně tak krátkozrakost politik a cílování spotřeby západních zemí zde hraje silnou roli, nelze ze všeho vinit pouze MNCs. Domácí vlády mají velkou roli také, stačí zde uvést úspěšnou politiku Brazílie jako příklad, oproti tomu mnohé africké a asijské země a jejich představitelé v podstatě drancují své vlastní obyvatele a své, tedy jejich zdroje</w:t>
      </w:r>
    </w:p>
    <w:p w:rsidR="0016254A" w:rsidRDefault="0016254A" w:rsidP="003118B3">
      <w:pPr>
        <w:widowControl w:val="0"/>
        <w:spacing w:line="276"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Indonésie je zajímavou zemí, ve které se nyní projevují exploatační praktiky nejen v ropném průmyslu, ale i v zemědělství a produkci biopaliv. Jakkoli se dají snahy o energetickou soběstačnost pochopit (přeci jen zde žije mnoho lidí, jejichž spotřeba </w:t>
      </w:r>
      <w:r>
        <w:rPr>
          <w:rFonts w:ascii="Times New Roman" w:hAnsi="Times New Roman" w:cs="Times New Roman"/>
          <w:sz w:val="24"/>
          <w:szCs w:val="24"/>
        </w:rPr>
        <w:lastRenderedPageBreak/>
        <w:t>každoročně stoupá), problém bych viděl v nedostatečném udržení navržených politik, kdy vyprodukovaná energie jde na export a nikoli k místním obyvatelům. Ti jsou navíc exploatování nejen ze strany MNCs, ale i z vlastní vlády, která není schopna vytvořit spravedlivou pozemkovou reformu a kompenzační politiku. Je zřejmé, že nejen socioekonomické dopady na místní komunity, ale také nevratné environmentální procesy, kdy se velmi rychle ztrácí deštný prales a půda degraduje díky své monokulturní podstatě, budou zemi sužovat po mnoho let.</w:t>
      </w:r>
    </w:p>
    <w:p w:rsidR="0016254A" w:rsidRDefault="0016254A" w:rsidP="003118B3">
      <w:pPr>
        <w:widowControl w:val="0"/>
        <w:spacing w:line="276" w:lineRule="auto"/>
        <w:ind w:firstLine="709"/>
        <w:jc w:val="both"/>
        <w:rPr>
          <w:rFonts w:ascii="Times New Roman" w:hAnsi="Times New Roman" w:cs="Times New Roman"/>
          <w:sz w:val="24"/>
          <w:szCs w:val="24"/>
        </w:rPr>
      </w:pPr>
    </w:p>
    <w:p w:rsidR="0016254A" w:rsidRDefault="0016254A" w:rsidP="003118B3">
      <w:pPr>
        <w:widowControl w:val="0"/>
        <w:spacing w:line="276" w:lineRule="auto"/>
        <w:ind w:firstLine="709"/>
        <w:jc w:val="both"/>
        <w:rPr>
          <w:rFonts w:ascii="Times New Roman" w:hAnsi="Times New Roman" w:cs="Times New Roman"/>
          <w:sz w:val="24"/>
          <w:szCs w:val="24"/>
        </w:rPr>
      </w:pPr>
    </w:p>
    <w:p w:rsidR="0016254A" w:rsidRPr="00971915"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3118B3" w:rsidP="003118B3">
      <w:pPr>
        <w:widowControl w:val="0"/>
        <w:spacing w:line="276" w:lineRule="auto"/>
        <w:jc w:val="both"/>
        <w:rPr>
          <w:rFonts w:ascii="Times New Roman" w:hAnsi="Times New Roman" w:cs="Times New Roman"/>
          <w:sz w:val="24"/>
          <w:szCs w:val="24"/>
        </w:rPr>
      </w:pPr>
      <w:r w:rsidRPr="00622CAB">
        <w:rPr>
          <w:rFonts w:ascii="Times New Roman" w:hAnsi="Times New Roman" w:cs="Times New Roman"/>
          <w:b/>
          <w:sz w:val="24"/>
          <w:szCs w:val="24"/>
        </w:rPr>
        <w:t>LITERATURA A ZDROJE</w:t>
      </w:r>
      <w:r>
        <w:rPr>
          <w:rFonts w:ascii="Times New Roman" w:hAnsi="Times New Roman" w:cs="Times New Roman"/>
          <w:sz w:val="24"/>
          <w:szCs w:val="24"/>
        </w:rPr>
        <w: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Africa: up for grabs. The scale and impact of land grabbing for agrofuels. (2010a). Friends of the Earth International (FOE), Benin City, Nigeria. 34 s.</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Ambali et al. (2010). A review of sustainable development of bioenergy in Africa: an outlook for the future bioenergy industry. Scientific Research and Essays. roč. 6, č. 8, s. 1697-1708. ISSN 1992-2248.</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Biokerosene: Take-off in the wrong direction. (2012). Milieudefensie, FOE. Amsterdam, 27 s.</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Colbran, N. (2011). Indigenous Peoples in Indonesia: At Risk of Disappearing as Distinct Peoples in the Rush for Biofuel? International Journal on Minority and Group Right 18. Leiden, s. 63-92.</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Danielsen et al. (2008). Biofuel Plantations on Forested Lands: Double Jeopardy for Biodiversity and Climate. Society for Conservation Biology. 11 s.</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EU-Africa Energy Partnership: Implications for Biofuel Use. (2008). Foresight Brief No. 149. EFMN, 4 s.</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 xml:space="preserve">Fact-sheet Palm Oil Production in Southeastern Asia. AIDEnvironment. 2004, 3 s. </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 xml:space="preserve">From Agrofuels to Biochar. (2010) Climate Change Conference 2010 at the University of Toronto. Biofuelwatch.org. (online). </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&lt;</w:t>
      </w:r>
      <w:hyperlink r:id="rId89" w:history="1">
        <w:r w:rsidRPr="003264DF">
          <w:rPr>
            <w:rFonts w:ascii="Times New Roman" w:hAnsi="Times New Roman" w:cs="Times New Roman"/>
            <w:iCs/>
            <w:sz w:val="20"/>
            <w:szCs w:val="20"/>
          </w:rPr>
          <w:t>http://www.biofuelwatch.org.uk/wp-content/uploads/agrofuels_and_biochar_article.pdf</w:t>
        </w:r>
      </w:hyperlink>
      <w:r w:rsidRPr="003264DF">
        <w:rPr>
          <w:rFonts w:ascii="Times New Roman" w:hAnsi="Times New Roman" w:cs="Times New Roman"/>
          <w:iCs/>
          <w:sz w:val="20"/>
          <w:szCs w:val="20"/>
        </w:rPr>
        <w:t>&gt; Citováno (1. 4. 2012)</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Hertel, T. W. et al. (2008). Biofuels for all? Understanding the Global Impacts of Multinational Mandates. Center for Global Trade Analysis, West Lafayette, USA. 48 s</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ICIS Chemical Business Americas (2007). Indonesia is set for sweet success with ethanol drive. March 26-April 1 2007.</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Impact of the use of biofuels on oil refining and fuels specifications. (2010) Wood Mackenzie, European Commission, Final Report October 2010. 194 s.</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 xml:space="preserve">Jayed M. H. et al. (2010). Prospects  of dedicated biodiesel engine vehicles in Malaysia and Indonesia. Renewable and Sustainable Energy Reviews 15. Elsevier, s. 220-235. </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Klute, M. (2008). Forests in Papua: Data and Facts. Contribution to the Forest Conference of the West Papua Network in Witten on 26th January 2008. Watch Indonesia. 8 s.</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Meals per gallon. The impact of industrial biofuels on people and global hunger. (2010). ActionAid, 2010. 48 s.</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Price volatility in Food and Agricultural Markets: Policy Responses. (2011). 68 s.</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 xml:space="preserve">Redamazon. (2007). Conflict: Indigenous People, Palm Oil, Conservationist and Carbon Trading. Nov 12th 2007. (online) &lt; </w:t>
      </w:r>
      <w:hyperlink r:id="rId90" w:history="1">
        <w:r w:rsidRPr="003264DF">
          <w:rPr>
            <w:rFonts w:ascii="Times New Roman" w:hAnsi="Times New Roman" w:cs="Times New Roman"/>
            <w:iCs/>
            <w:sz w:val="20"/>
            <w:szCs w:val="20"/>
          </w:rPr>
          <w:t>http://redamazon.wordpress.com/2007/11/12/conflict-indigenous-people-palm-oil-conservationist-and-carbon-trading/</w:t>
        </w:r>
      </w:hyperlink>
      <w:r w:rsidRPr="003264DF">
        <w:rPr>
          <w:rFonts w:ascii="Times New Roman" w:hAnsi="Times New Roman" w:cs="Times New Roman"/>
          <w:iCs/>
          <w:sz w:val="20"/>
          <w:szCs w:val="20"/>
        </w:rPr>
        <w:t>&gt; Citováno (1. 4. 2012)</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 xml:space="preserve">RFA (Renewable Fuels Association) (online). &lt; </w:t>
      </w:r>
      <w:hyperlink r:id="rId91" w:history="1">
        <w:r w:rsidRPr="003264DF">
          <w:rPr>
            <w:rFonts w:ascii="Times New Roman" w:hAnsi="Times New Roman" w:cs="Times New Roman"/>
            <w:iCs/>
            <w:sz w:val="20"/>
            <w:szCs w:val="20"/>
          </w:rPr>
          <w:t>http://ethanolrfa.org/pages/World-Fuel-Ethanol-Production</w:t>
        </w:r>
      </w:hyperlink>
      <w:r w:rsidRPr="003264DF">
        <w:rPr>
          <w:rFonts w:ascii="Times New Roman" w:hAnsi="Times New Roman" w:cs="Times New Roman"/>
          <w:iCs/>
          <w:sz w:val="20"/>
          <w:szCs w:val="20"/>
        </w:rPr>
        <w:t xml:space="preserve"> &gt;. Citováno (1. 4. 2012).</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lastRenderedPageBreak/>
        <w:t>Rogers, H. (2009). Slash and Burn. Mother Jones Mar/Apr 2009, roč. 34, č. 2. s. 40-43. ISSN 03628841</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The Economist. (2007). Food Prices. Cheap no more. Dec 6th 2007. (online) &lt;</w:t>
      </w:r>
      <w:hyperlink r:id="rId92" w:history="1">
        <w:r w:rsidRPr="003264DF">
          <w:rPr>
            <w:rFonts w:ascii="Times New Roman" w:hAnsi="Times New Roman" w:cs="Times New Roman"/>
            <w:iCs/>
            <w:sz w:val="20"/>
            <w:szCs w:val="20"/>
          </w:rPr>
          <w:t>http://www.economist.com/node/10250420?story_id=10250420</w:t>
        </w:r>
      </w:hyperlink>
      <w:r w:rsidRPr="003264DF">
        <w:rPr>
          <w:rFonts w:ascii="Times New Roman" w:hAnsi="Times New Roman" w:cs="Times New Roman"/>
          <w:iCs/>
          <w:sz w:val="20"/>
          <w:szCs w:val="20"/>
        </w:rPr>
        <w:t>&gt;. Citováno (1. 4. 2012).</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Too Green to be True. IOI Corporation in Ketapang District, West Kalimantan. (2010b). Milieudefensie, FOE. Amsterdam, 23 s.</w:t>
      </w:r>
    </w:p>
    <w:p w:rsidR="0016254A" w:rsidRDefault="0016254A" w:rsidP="003118B3">
      <w:pPr>
        <w:widowControl w:val="0"/>
        <w:spacing w:line="276" w:lineRule="auto"/>
        <w:ind w:firstLine="709"/>
        <w:jc w:val="both"/>
        <w:rPr>
          <w:rFonts w:ascii="Times New Roman" w:hAnsi="Times New Roman" w:cs="Times New Roman"/>
          <w:sz w:val="24"/>
          <w:szCs w:val="24"/>
        </w:rPr>
      </w:pPr>
    </w:p>
    <w:p w:rsidR="0016254A" w:rsidRDefault="0016254A" w:rsidP="003118B3">
      <w:pPr>
        <w:widowControl w:val="0"/>
        <w:spacing w:line="276" w:lineRule="auto"/>
        <w:ind w:firstLine="709"/>
        <w:jc w:val="both"/>
        <w:rPr>
          <w:rFonts w:ascii="Times New Roman" w:hAnsi="Times New Roman" w:cs="Times New Roman"/>
          <w:sz w:val="24"/>
          <w:szCs w:val="24"/>
        </w:rPr>
      </w:pPr>
    </w:p>
    <w:p w:rsidR="0016254A" w:rsidRDefault="0016254A" w:rsidP="003118B3">
      <w:pPr>
        <w:widowControl w:val="0"/>
        <w:spacing w:line="276" w:lineRule="auto"/>
        <w:ind w:firstLine="709"/>
        <w:jc w:val="both"/>
        <w:rPr>
          <w:rFonts w:ascii="Times New Roman" w:hAnsi="Times New Roman" w:cs="Times New Roman"/>
          <w:sz w:val="24"/>
          <w:szCs w:val="24"/>
        </w:rPr>
      </w:pPr>
    </w:p>
    <w:p w:rsidR="0016254A" w:rsidRDefault="0016254A" w:rsidP="003118B3">
      <w:pPr>
        <w:widowControl w:val="0"/>
        <w:spacing w:line="276" w:lineRule="auto"/>
        <w:ind w:firstLine="709"/>
        <w:jc w:val="both"/>
        <w:rPr>
          <w:rFonts w:ascii="Times New Roman" w:hAnsi="Times New Roman" w:cs="Times New Roman"/>
          <w:sz w:val="24"/>
          <w:szCs w:val="24"/>
        </w:rPr>
      </w:pPr>
    </w:p>
    <w:p w:rsidR="0016254A" w:rsidRDefault="0016254A" w:rsidP="003118B3">
      <w:pPr>
        <w:widowControl w:val="0"/>
        <w:spacing w:line="276" w:lineRule="auto"/>
        <w:ind w:firstLine="709"/>
        <w:jc w:val="both"/>
        <w:rPr>
          <w:rFonts w:ascii="Times New Roman" w:hAnsi="Times New Roman" w:cs="Times New Roman"/>
          <w:sz w:val="24"/>
          <w:szCs w:val="24"/>
        </w:rPr>
      </w:pPr>
    </w:p>
    <w:p w:rsidR="0016254A" w:rsidRDefault="0016254A" w:rsidP="003118B3">
      <w:pPr>
        <w:widowControl w:val="0"/>
        <w:spacing w:line="276" w:lineRule="auto"/>
        <w:ind w:firstLine="709"/>
        <w:jc w:val="both"/>
        <w:rPr>
          <w:rFonts w:ascii="Times New Roman" w:hAnsi="Times New Roman" w:cs="Times New Roman"/>
          <w:sz w:val="24"/>
          <w:szCs w:val="24"/>
        </w:rPr>
      </w:pPr>
      <w:r>
        <w:rPr>
          <w:rFonts w:ascii="Times New Roman" w:hAnsi="Times New Roman" w:cs="Times New Roman"/>
          <w:sz w:val="24"/>
          <w:szCs w:val="24"/>
        </w:rPr>
        <w:br w:type="page"/>
      </w:r>
    </w:p>
    <w:p w:rsidR="0016254A" w:rsidRPr="003118B3" w:rsidRDefault="0016254A" w:rsidP="003118B3">
      <w:pPr>
        <w:pStyle w:val="Nadpis1"/>
        <w:ind w:firstLine="0"/>
      </w:pPr>
      <w:bookmarkStart w:id="98" w:name="_Toc331023999"/>
      <w:r w:rsidRPr="003118B3">
        <w:lastRenderedPageBreak/>
        <w:t>BOLÍVIE A GLOBALIZACE</w:t>
      </w:r>
      <w:bookmarkEnd w:id="98"/>
    </w:p>
    <w:p w:rsidR="003118B3" w:rsidRDefault="003118B3" w:rsidP="003118B3">
      <w:pPr>
        <w:widowControl w:val="0"/>
        <w:spacing w:line="276" w:lineRule="auto"/>
        <w:jc w:val="center"/>
        <w:rPr>
          <w:rFonts w:ascii="Times New Roman" w:hAnsi="Times New Roman" w:cs="Times New Roman"/>
          <w:sz w:val="24"/>
          <w:szCs w:val="24"/>
        </w:rPr>
      </w:pPr>
    </w:p>
    <w:p w:rsidR="0016254A" w:rsidRPr="003118B3" w:rsidRDefault="0016254A" w:rsidP="003118B3">
      <w:pPr>
        <w:widowControl w:val="0"/>
        <w:spacing w:line="276" w:lineRule="auto"/>
        <w:jc w:val="center"/>
        <w:rPr>
          <w:rFonts w:ascii="Times New Roman" w:hAnsi="Times New Roman" w:cs="Times New Roman"/>
          <w:sz w:val="24"/>
          <w:szCs w:val="24"/>
        </w:rPr>
      </w:pPr>
      <w:r w:rsidRPr="003118B3">
        <w:rPr>
          <w:rFonts w:ascii="Times New Roman" w:hAnsi="Times New Roman" w:cs="Times New Roman"/>
          <w:i/>
          <w:sz w:val="24"/>
          <w:szCs w:val="24"/>
        </w:rPr>
        <w:t>Gustav Novotný</w:t>
      </w:r>
    </w:p>
    <w:p w:rsidR="0016254A" w:rsidRPr="003118B3" w:rsidRDefault="0016254A" w:rsidP="003118B3">
      <w:pPr>
        <w:widowControl w:val="0"/>
        <w:spacing w:line="276" w:lineRule="auto"/>
        <w:ind w:firstLine="709"/>
        <w:jc w:val="center"/>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Tématem práce je analýza současné role Bolívie ve světě globalizovaného obchodu. Neoliberální model politiky </w:t>
      </w:r>
      <w:smartTag w:uri="urn:schemas-microsoft-com:office:smarttags" w:element="metricconverter">
        <w:smartTagPr>
          <w:attr w:name="ProductID" w:val="80. a"/>
        </w:smartTagPr>
        <w:r w:rsidRPr="003118B3">
          <w:rPr>
            <w:rFonts w:ascii="Times New Roman" w:hAnsi="Times New Roman" w:cs="Times New Roman"/>
            <w:sz w:val="24"/>
            <w:szCs w:val="24"/>
          </w:rPr>
          <w:t>80. a</w:t>
        </w:r>
      </w:smartTag>
      <w:r w:rsidRPr="003118B3">
        <w:rPr>
          <w:rFonts w:ascii="Times New Roman" w:hAnsi="Times New Roman" w:cs="Times New Roman"/>
          <w:sz w:val="24"/>
          <w:szCs w:val="24"/>
        </w:rPr>
        <w:t xml:space="preserve"> 90. let v tomto jihoamerickém státě vedl k velkým sociálním nepokojům. Vznikla hnutí, která se snažila bojovat proti neoliberální politice amerického střihu - Bolívijci se vzepřeli nenáviděným „gringos“ a prosadili svoji vlastní (indiánskou) identitu. To se mj. silně projevuje na politické scéně, kde od roku 2005 převzal otěže vlády první indiánský prezident Evo Morales. Nová vláda není příliš nakloněna globalizaci obchodu, dlouhodobě dochází ke znárodňování podniků. Mají dnes zahraniční investoři v Bolívii šanci? Jakým způsobem se bolívijská produkce projevuje na mezinárodním trhu? Jak Bolívie ovlivňuje světový trh se zemním plynem a olejninami? Práce také krátce glosuje obchod s kokou, který zajišťuje Bolívii značné zisky, a domácí obchodní „výstřelky“ jako je kokový nápoj „Coca-Colla“.</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jc w:val="both"/>
        <w:rPr>
          <w:rFonts w:ascii="Times New Roman" w:hAnsi="Times New Roman" w:cs="Times New Roman"/>
          <w:sz w:val="24"/>
          <w:szCs w:val="24"/>
        </w:rPr>
      </w:pPr>
      <w:r w:rsidRPr="003118B3">
        <w:rPr>
          <w:rFonts w:ascii="Times New Roman" w:hAnsi="Times New Roman" w:cs="Times New Roman"/>
          <w:sz w:val="24"/>
          <w:szCs w:val="24"/>
        </w:rPr>
        <w:t>Politický vývoj a počátky globalizace</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Bolívie dlouhodobě patří k nejchudším zemím na jihoamerickém kontinentu. Nikdy se příliš neúčastnila dění na mezinárodním poli. Přesto se nedá říct, že by tato geograficky i politicky uzavřená země zaspala bouřlivé období 70. let dvacátého století charakteristické největším rozpukem fenoménu globalizace. Právě v této době totiž v Bolívii začaly probíhat sociální a demografické změny v čele s rychlou urbanizací. Došlo ke zlepšení sociální a zdravotní péče, k rozvoji ekonomiky - upustilo se od neefektivní těžby nerostných surovin (převážně barevných kovů) a přistoupilo se k těžbě rozsáhlých zásob zemního plynu (Lünstedt, Bonifaz 2010). V souvislosti s nalezišti této dobře obchodovatelné komodity, která se nacházejí ve východní Bolívii, došlo k výraznému ekonomickému rozvoji východu Bolívie (tzv. oblast Media Luna, česky „půlměsíc“) na úkor hornatého Západu. Ekonomický růst Bolívie tak byl značně </w:t>
      </w:r>
      <w:proofErr w:type="gramStart"/>
      <w:r w:rsidRPr="003118B3">
        <w:rPr>
          <w:rFonts w:ascii="Times New Roman" w:hAnsi="Times New Roman" w:cs="Times New Roman"/>
          <w:sz w:val="24"/>
          <w:szCs w:val="24"/>
        </w:rPr>
        <w:t>nerovnoměrný a ačkoli</w:t>
      </w:r>
      <w:proofErr w:type="gramEnd"/>
      <w:r w:rsidRPr="003118B3">
        <w:rPr>
          <w:rFonts w:ascii="Times New Roman" w:hAnsi="Times New Roman" w:cs="Times New Roman"/>
          <w:sz w:val="24"/>
          <w:szCs w:val="24"/>
        </w:rPr>
        <w:t xml:space="preserve"> došlo k nezanedbatelnému zlepšení celkové životní úrovně obyvatelstva, značná část Bolívijců stále žije na pokraji chudoby. Jinými slovy, ekonomické změny spojené s globalizací pomohly určitým složkám obyvatelstva, pro většinu obyvatel státu se nic nezměnilo. </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Změny spojené s globalizací vedly od 70. let k nárůstu a urychlení migrace z venkova do měst. Krize v těžebním průmyslu v západní Bolívii a vstup Media Luna - v čele s mocnou provincií Santa Cruz řídící těžbu plynu v departmentu Tarija - na mezinárodní trh se zemním plynem a masivní prodej plynu především do sousední Brazílie, způsobily prohloubení sociopolitických rozdílů vycházejících z konfliktní historie států. Bolívie se v důsledku těchto změn stala polarizovanou jako nikdy dříve. Došlo ke vzniků celé řady dichotomií. Východ vs. západ, město vs. venkov, většinové indiánské obyvatelstvo vs. „bílá“ menšina, apod. Tento konflikt bychom mohli označit jako spor mezi Bolívijci - účastníky globalizace a Bolívijci, kteří jsou z těchto ekonomických změn vyloučeni (Lünstedt, Bonifaz 2010).</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Východní Bolívie se svými produkty později vtrhla na trh v zemích Andského společenství národů (Comunidad Andina de Naciones - CAN) - uplatnily se hlavně v Chile a </w:t>
      </w:r>
      <w:r w:rsidRPr="003118B3">
        <w:rPr>
          <w:rFonts w:ascii="Times New Roman" w:hAnsi="Times New Roman" w:cs="Times New Roman"/>
          <w:sz w:val="24"/>
          <w:szCs w:val="24"/>
        </w:rPr>
        <w:lastRenderedPageBreak/>
        <w:t>Argentině. Nutno říct, že bolívijská ekonomika nezávisí pouze na obchodu se zemním plynem. Vysoce konkurenceschopným vývozním artiklem se staly olejniny, především sója. Producentem jsou však opět východní departmenty. Ekonomická nerovnováha mezi oběma částmi Bolívie vedla k odstředivým tendencím na politické úrovni - východní departmenty se stávaly čím dál více nezávislými na západní Bolívii, kde sídlí vláda. Představitelé východu začali formulovat autonomistické požadavky a v Media Luna se objevilo separatistické hnutí (Novotný 2011).</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Krátce jsme rozebrali sociopolitickou situaci v Bolívii v počátcích globalizace a nastínili vývoj, který favorizoval provincie Media Luna. Jak se však k otázkám globalizace a volného obchodu stavěla bolívijská vláda? Nejvýraznější snaha o liberalizaci trhu a zapojení se do mezinárodních struktur spadá teprve do období raných 90. let. Souvisí to s výměnou tehdejší vládní garnitury. V srpnu 1993 se stal prezidentem proamerický Gónzalo Sánchez de Lozada, který začal uplatňovat ambiciózní neoliberální reformy zakládající se na privatizaci státních podniků, volném trhu a podpoře vstupu zahraničního kapitálu. Sánchezovy reformy navazovaly na bolívijskou neoliberální politiku uplatňovanou, poměrně neúspěšně, v osmdesátých letech (MIRABOLIVIA.COM).</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Řadovým občanům však neoliberální reformy vesměs přinesly zhoršení životní situace, zvláště v případě dlouhodobě marginalizovaných indiánů. Nespokojení indiáni stupňovali masové protesty - počátek jejich organizovaného odporu hledejme právě na přelomu </w:t>
      </w:r>
      <w:smartTag w:uri="urn:schemas-microsoft-com:office:smarttags" w:element="metricconverter">
        <w:smartTagPr>
          <w:attr w:name="ProductID" w:val="80. a"/>
        </w:smartTagPr>
        <w:r w:rsidRPr="003118B3">
          <w:rPr>
            <w:rFonts w:ascii="Times New Roman" w:hAnsi="Times New Roman" w:cs="Times New Roman"/>
            <w:sz w:val="24"/>
            <w:szCs w:val="24"/>
          </w:rPr>
          <w:t>80. a</w:t>
        </w:r>
      </w:smartTag>
      <w:r w:rsidRPr="003118B3">
        <w:rPr>
          <w:rFonts w:ascii="Times New Roman" w:hAnsi="Times New Roman" w:cs="Times New Roman"/>
          <w:sz w:val="24"/>
          <w:szCs w:val="24"/>
        </w:rPr>
        <w:t xml:space="preserve"> 90. let během vlády levicového vůdce Jaime Paze Zamory. Protesty se stupňovaly v 90. letech za vlády Sáncheze de Lozada. Příjmy mnoha obyvatel více než předtím začaly záviset na ilegálním obchodu s kokou. Během vlády pravicového diktátora Bánzera Suáreze začalo dlouhé období agrese vůči pěstitelům koky (tzv. cocaleros), tradiční bolívijské komodity. Represe vlády se setkávaly se stále větším odporem cocaleros vedených indiánským vůdcem Evo Moralesem. Protesty, pochody a blokády silnic často končily krvavými střety s policií. Morales, nový lídr Hnutí za socialismus (Movimiento al Socialismo - MAS), vedl opozici proti neoliberální politice Sáncheze de Lozada, jenž znovu vládnul v období 2002-2003 (Poma 2008: 121-123). Nespokojenost s vládou přerostla v ostré konflikty: nejvíce lidí zemřelo v roce 2003 během „černého února“ (febrero negro). Pod vedením Evo Moralese došlo k blokádám silnic po celé zemi a tisíce členů dělnických odborů v čele s indiánským předákem Felipe Quispem obsadily El Alto (chudinskou periferii La Pazu), kde byl vládou vyhlášen výjimečný stav (Poma 2008: 134-136). Sánchez de Lozada abdikoval a indiánská většina bolívijského obyvatelstva si žádala Moralese za prezidenta (Poma 2008: 139-142).</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Předčasné volby se konaly v prosinci 2005. Masívní volební kampaň Moralesovy MAS, zacílená především na chudé indiány, kteří až do té doby byli zcela vyřazeni z rozhodování o záležitostech Bolívie, byla úspěšná a Morales s celkově více než 50 % volebních hlasů jasně porazil pravicové protikandidáty zastupující povětšinou hospodářsky rozvinutý východ země (Poma 2008: 142). </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E244EA" w:rsidP="00E244EA">
      <w:pPr>
        <w:widowControl w:val="0"/>
        <w:spacing w:line="276" w:lineRule="auto"/>
        <w:jc w:val="both"/>
        <w:rPr>
          <w:rFonts w:ascii="Times New Roman" w:hAnsi="Times New Roman" w:cs="Times New Roman"/>
          <w:sz w:val="24"/>
          <w:szCs w:val="24"/>
        </w:rPr>
      </w:pPr>
      <w:r>
        <w:rPr>
          <w:rFonts w:ascii="Times New Roman" w:hAnsi="Times New Roman" w:cs="Times New Roman"/>
          <w:b/>
          <w:sz w:val="24"/>
          <w:szCs w:val="24"/>
        </w:rPr>
        <w:t>B</w:t>
      </w:r>
      <w:r w:rsidR="0016254A" w:rsidRPr="00E244EA">
        <w:rPr>
          <w:rFonts w:ascii="Times New Roman" w:eastAsia="Times New Roman" w:hAnsi="Times New Roman" w:cs="Times New Roman"/>
          <w:b/>
          <w:bCs/>
          <w:sz w:val="24"/>
          <w:szCs w:val="24"/>
          <w:lang w:eastAsia="cs-CZ"/>
        </w:rPr>
        <w:t>olívijské komodity a globální trh</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Ekonomika státu výrazně závisí na těžbě nerostného bohatství, především zemního plynu a ropy. V posledních letech narostl význam zemědělského exportu. Velmi výrazně se </w:t>
      </w:r>
      <w:r w:rsidRPr="003118B3">
        <w:rPr>
          <w:rFonts w:ascii="Times New Roman" w:hAnsi="Times New Roman" w:cs="Times New Roman"/>
          <w:sz w:val="24"/>
          <w:szCs w:val="24"/>
        </w:rPr>
        <w:lastRenderedPageBreak/>
        <w:t>rozvinulo pěstování sóji, které je však lokalizováno pouze v departmentu Santa Cruz (BUSINESSINFO.CZ).  Ostatní zemědělská produkce Bolívie se také soustředí na území Santa Cruz (85 %). Ostatní provincie nemají vhodné podmínky pro intenzivní zemědělství; velmi nízkým podílem přispívají k celkové produkci departmenty hornatého západu (z toho nejvíce Cochabamba - 4 %), ale i ostatní provincie východu: Tarija 3 %, rozsáhlé Beni 2 % a Pando pouze 1 % (FAS.USDA.GOV 2005).</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Boom produkce a vývozu bolívijské sóji a souvisejících produktů spadá do 90. let, následoval prudký růst a dnes je Bolívie čtvrtým největším vývozcem sóji v jižní Americe. Pérez Luna (2007) tvrdí, že úspěšný proces pěstování a obchodu se sójou je jasným důkazem neoliberálního modelu volného trhu, kterým se země řídila přibližně od roku 1985. Na druhou stranu, jiná nezávislá pozorování poukazují, že obchod se sójou a jeho důsledky nepřiměřeně zatěžuje životní prostředí, přispívají k ekonomické polarizaci obou částí Bolívie a negativně se promítají na sociopolitické úrovni.</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Obchod se sójou v Bolívii ohromně vzrostl během relativně velmi krátkého období, a to především díky zapojení se do struktury volného trhu. Základ konkurenceschopnosti bolívijské sóji hledejme v nízké ceně půdy i pracovní síly a mizivé pozornosti vůči životnímu prostředí. Zemědělská půda je ve východní Bolívii v podstatě všudypřítomná a špičky východních departmentů toho umějí tržně využít. Jako další rys globalizace můžeme uvést to, že bolívijský obchod se sójou postupně přechází do rukou zahraničních vlastníků. Od 90.let se při obchodování s bolívijskou sójou uplatňuje japonský kapitál, v současnosti sóju ze Santa Cruz produkují hlavně Brazilci. Důsledkem je specializace zemědělství v Santa Cruz - brazilští investoří najímají v Bolívii levnou pracovní sílu, zisky z produkce však putují do zahraničí (Pérez Luna 2007).</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3118B3"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noProof/>
          <w:sz w:val="24"/>
          <w:szCs w:val="24"/>
          <w:lang w:eastAsia="cs-CZ"/>
        </w:rPr>
        <w:drawing>
          <wp:anchor distT="0" distB="0" distL="0" distR="0" simplePos="0" relativeHeight="251670528" behindDoc="0" locked="0" layoutInCell="1" allowOverlap="0" wp14:anchorId="4F97BCB4" wp14:editId="0B2F18CA">
            <wp:simplePos x="0" y="0"/>
            <wp:positionH relativeFrom="column">
              <wp:posOffset>-26670</wp:posOffset>
            </wp:positionH>
            <wp:positionV relativeFrom="line">
              <wp:posOffset>68580</wp:posOffset>
            </wp:positionV>
            <wp:extent cx="3657600" cy="2438400"/>
            <wp:effectExtent l="0" t="0" r="0" b="0"/>
            <wp:wrapSquare wrapText="bothSides"/>
            <wp:docPr id="55" name="Obrázek 55" descr="Según el Gobierno la exportación de gas boliviano a Brasil subirá nuevamente a sus niveles norm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gún el Gobierno la exportación de gas boliviano a Brasil subirá nuevamente a sus niveles normale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jc w:val="both"/>
        <w:rPr>
          <w:rFonts w:ascii="Times New Roman" w:hAnsi="Times New Roman" w:cs="Times New Roman"/>
          <w:sz w:val="24"/>
          <w:szCs w:val="24"/>
        </w:rPr>
      </w:pPr>
    </w:p>
    <w:p w:rsidR="0016254A" w:rsidRPr="003118B3" w:rsidRDefault="0016254A" w:rsidP="003118B3">
      <w:pPr>
        <w:widowControl w:val="0"/>
        <w:spacing w:line="276" w:lineRule="auto"/>
        <w:jc w:val="both"/>
        <w:rPr>
          <w:rFonts w:ascii="Times New Roman" w:hAnsi="Times New Roman" w:cs="Times New Roman"/>
          <w:sz w:val="24"/>
          <w:szCs w:val="24"/>
        </w:rPr>
      </w:pPr>
      <w:r w:rsidRPr="003118B3">
        <w:rPr>
          <w:rFonts w:ascii="Times New Roman" w:hAnsi="Times New Roman" w:cs="Times New Roman"/>
          <w:sz w:val="24"/>
          <w:szCs w:val="24"/>
        </w:rPr>
        <w:t xml:space="preserve">Obr. 1 Bolívie se dnes na volném trhu uplatňuje hlavně obchodem se zemního plynem </w:t>
      </w:r>
    </w:p>
    <w:p w:rsidR="0016254A" w:rsidRPr="00E244EA" w:rsidRDefault="0016254A" w:rsidP="003118B3">
      <w:pPr>
        <w:widowControl w:val="0"/>
        <w:spacing w:line="276" w:lineRule="auto"/>
        <w:jc w:val="both"/>
        <w:rPr>
          <w:rFonts w:ascii="Times New Roman" w:hAnsi="Times New Roman" w:cs="Times New Roman"/>
          <w:i/>
          <w:sz w:val="20"/>
          <w:szCs w:val="20"/>
        </w:rPr>
      </w:pPr>
      <w:r w:rsidRPr="00E244EA">
        <w:rPr>
          <w:rFonts w:ascii="Times New Roman" w:hAnsi="Times New Roman" w:cs="Times New Roman"/>
          <w:i/>
          <w:sz w:val="20"/>
          <w:szCs w:val="20"/>
        </w:rPr>
        <w:t>Zdroj: www.eabolivia.com/economia</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Hlavním bolívijským vývozním produktem je však zemní plyn, který tvoří významný prvek politického konfliktu - znesvářené části Bolívie bojují o zisky z této komodity. Více než 80 % nalezišť ropy a zemního plynu se přitom nachází na území východního departmentu Tarija, a to především v lokalitách San Alberto, Itaú, San Antonio a Margarita (Díaz 2005).</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lastRenderedPageBreak/>
        <w:t xml:space="preserve">V roce 1994 byla těžba zemního plynu zprivatizována v souladu s politikou volného trhu tehdejší vlády Sáncheze de Lozada. Avšak v roce 2006 začalo masivní znárodňování pod taktovkou indiánského prezidenta Evo Moralese. Bolívie je po Venezuele druhým největším producentem zemního plynu v jižní Americe. Zásoby plynu se odhadují na 750 bilionů m3. Produkce činí </w:t>
      </w:r>
      <w:smartTag w:uri="urn:schemas-microsoft-com:office:smarttags" w:element="metricconverter">
        <w:smartTagPr>
          <w:attr w:name="ProductID" w:val="14,2 m3"/>
        </w:smartTagPr>
        <w:r w:rsidRPr="003118B3">
          <w:rPr>
            <w:rFonts w:ascii="Times New Roman" w:hAnsi="Times New Roman" w:cs="Times New Roman"/>
            <w:sz w:val="24"/>
            <w:szCs w:val="24"/>
          </w:rPr>
          <w:t>14,2 m3</w:t>
        </w:r>
      </w:smartTag>
      <w:r w:rsidRPr="003118B3">
        <w:rPr>
          <w:rFonts w:ascii="Times New Roman" w:hAnsi="Times New Roman" w:cs="Times New Roman"/>
          <w:sz w:val="24"/>
          <w:szCs w:val="24"/>
        </w:rPr>
        <w:t xml:space="preserve"> ročně, z toho jde na export </w:t>
      </w:r>
      <w:smartTag w:uri="urn:schemas-microsoft-com:office:smarttags" w:element="metricconverter">
        <w:smartTagPr>
          <w:attr w:name="ProductID" w:val="11,8 m3"/>
        </w:smartTagPr>
        <w:r w:rsidRPr="003118B3">
          <w:rPr>
            <w:rFonts w:ascii="Times New Roman" w:hAnsi="Times New Roman" w:cs="Times New Roman"/>
            <w:sz w:val="24"/>
            <w:szCs w:val="24"/>
          </w:rPr>
          <w:t>11,8 m3</w:t>
        </w:r>
      </w:smartTag>
      <w:r w:rsidRPr="003118B3">
        <w:rPr>
          <w:rFonts w:ascii="Times New Roman" w:hAnsi="Times New Roman" w:cs="Times New Roman"/>
          <w:sz w:val="24"/>
          <w:szCs w:val="24"/>
        </w:rPr>
        <w:t>. Ohledně zemního plynu je Bolívie zcela soběstačná - ostatně domácí spotřeba je velmi nízká (Perreault 2007). Většinu těžařského průmyslu dnes vlastní státní podnik YPFB. V období 2006-2012 se prudce snížil podíl vlastnictví nadnárodních korporací a zahraničních koncernů. Jedná se hlavně o brazilský Petrobrás, španělsko-argentinský Repsol, francouzský Total či americký US Exxon Mobil. Evo Morales, v čele svých přívrženců z chudého Altiplana, se staví proti globalizovanému volnému trhu a od počátku své vlády se snaží o nacionalizaci zisků z obchodu se zemním plynu. Zisky nicméně produkují východní departmenty, což vede k dlouhodobému napětí v zemi. I Morales však musí dělat určité ústupky - důležitá je otázka plynovodů, které spojují Bolívii s Brazílií a Argentinou, tj. silnými hráči v regionu (viz Obr. 2). Bolívie se tudíž musí při obchodu se zemním plynem shodnout s brazilskými a argentinskými koncerny - kompletní nacionalizace těžebního průmyslu tedy pravděpodobně nikdy nebude možná a ani pro Bolívii výhodná.</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E244EA">
      <w:pPr>
        <w:widowControl w:val="0"/>
        <w:spacing w:line="276" w:lineRule="auto"/>
        <w:jc w:val="both"/>
        <w:rPr>
          <w:rFonts w:ascii="Times New Roman" w:hAnsi="Times New Roman" w:cs="Times New Roman"/>
          <w:sz w:val="24"/>
          <w:szCs w:val="24"/>
        </w:rPr>
      </w:pPr>
      <w:r w:rsidRPr="003118B3">
        <w:rPr>
          <w:rFonts w:ascii="Times New Roman" w:hAnsi="Times New Roman" w:cs="Times New Roman"/>
          <w:noProof/>
          <w:sz w:val="24"/>
          <w:szCs w:val="24"/>
          <w:lang w:eastAsia="cs-CZ"/>
        </w:rPr>
        <w:drawing>
          <wp:inline distT="0" distB="0" distL="0" distR="0" wp14:anchorId="7091E8BC" wp14:editId="289A65F7">
            <wp:extent cx="5039995" cy="3306445"/>
            <wp:effectExtent l="0" t="0" r="8255" b="8255"/>
            <wp:docPr id="54" name="Obrázek 54" descr="bolivia+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olivia+gas"/>
                    <pic:cNvPicPr>
                      <a:picLocks noChangeAspect="1" noChangeArrowheads="1"/>
                    </pic:cNvPicPr>
                  </pic:nvPicPr>
                  <pic:blipFill>
                    <a:blip r:embed="rId94">
                      <a:extLst>
                        <a:ext uri="{28A0092B-C50C-407E-A947-70E740481C1C}">
                          <a14:useLocalDpi xmlns:a14="http://schemas.microsoft.com/office/drawing/2010/main" val="0"/>
                        </a:ext>
                      </a:extLst>
                    </a:blip>
                    <a:srcRect t="7957"/>
                    <a:stretch>
                      <a:fillRect/>
                    </a:stretch>
                  </pic:blipFill>
                  <pic:spPr bwMode="auto">
                    <a:xfrm>
                      <a:off x="0" y="0"/>
                      <a:ext cx="5039995" cy="3306445"/>
                    </a:xfrm>
                    <a:prstGeom prst="rect">
                      <a:avLst/>
                    </a:prstGeom>
                    <a:noFill/>
                    <a:ln>
                      <a:noFill/>
                    </a:ln>
                  </pic:spPr>
                </pic:pic>
              </a:graphicData>
            </a:graphic>
          </wp:inline>
        </w:drawing>
      </w:r>
    </w:p>
    <w:p w:rsidR="0016254A" w:rsidRPr="003118B3" w:rsidRDefault="0016254A" w:rsidP="00E244EA">
      <w:pPr>
        <w:widowControl w:val="0"/>
        <w:spacing w:line="276" w:lineRule="auto"/>
        <w:jc w:val="both"/>
        <w:rPr>
          <w:rFonts w:ascii="Times New Roman" w:hAnsi="Times New Roman" w:cs="Times New Roman"/>
          <w:sz w:val="24"/>
          <w:szCs w:val="24"/>
        </w:rPr>
      </w:pPr>
      <w:r w:rsidRPr="003118B3">
        <w:rPr>
          <w:rFonts w:ascii="Times New Roman" w:hAnsi="Times New Roman" w:cs="Times New Roman"/>
          <w:sz w:val="24"/>
          <w:szCs w:val="24"/>
        </w:rPr>
        <w:t>Obr. 2 Plynovody na bolívijském území.</w:t>
      </w:r>
    </w:p>
    <w:p w:rsidR="0016254A" w:rsidRPr="00E244EA" w:rsidRDefault="0016254A" w:rsidP="00E244EA">
      <w:pPr>
        <w:widowControl w:val="0"/>
        <w:spacing w:line="276" w:lineRule="auto"/>
        <w:jc w:val="both"/>
        <w:rPr>
          <w:rFonts w:ascii="Times New Roman" w:hAnsi="Times New Roman" w:cs="Times New Roman"/>
          <w:i/>
          <w:sz w:val="20"/>
          <w:szCs w:val="20"/>
        </w:rPr>
      </w:pPr>
      <w:r w:rsidRPr="00E244EA">
        <w:rPr>
          <w:rFonts w:ascii="Times New Roman" w:hAnsi="Times New Roman" w:cs="Times New Roman"/>
          <w:i/>
          <w:sz w:val="20"/>
          <w:szCs w:val="20"/>
        </w:rPr>
        <w:t>Zdroj: Strategic Forecasting 2008</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E244EA">
      <w:pPr>
        <w:pStyle w:val="Nadpis1"/>
        <w:ind w:firstLine="0"/>
        <w:jc w:val="left"/>
      </w:pPr>
      <w:bookmarkStart w:id="99" w:name="_Toc331024000"/>
      <w:r w:rsidRPr="003118B3">
        <w:t>Globalizace obchodu s kokou?</w:t>
      </w:r>
      <w:bookmarkEnd w:id="99"/>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Koka - posvátná rostlina v andských státech - hraje důležitou roli v Bolívii, kde je hojně konzumována a používána jako lék. Obyčejní Bolívijci si bez ní neumějí svůj život vůbec představit. Prezident Morales je horlivým zastáncem koky a snaží se prosadit její komerční využití (ABC.ES). S nástupem Moralese do prezidentského úřadu se prudce zvýšila produkce koky. Vláda koku radikálně obhajuje coby symbol tamní kultury, nezapomínejme </w:t>
      </w:r>
      <w:r w:rsidRPr="003118B3">
        <w:rPr>
          <w:rFonts w:ascii="Times New Roman" w:hAnsi="Times New Roman" w:cs="Times New Roman"/>
          <w:sz w:val="24"/>
          <w:szCs w:val="24"/>
        </w:rPr>
        <w:lastRenderedPageBreak/>
        <w:t>však, že Bolívii z pěstování koky plynou obrovské zisky. Tato plodina totiž tvoří základ pro výrobu kokainu a Bolívie bohatne díky mezinárodnímu obchodu s drogami. Vláda tvrdí, že produkce se snižuje, avšak mezinárodní kontrolní orgány (OSN a další) jsou přesvědčené o opaku (NOTICIAS24.COM 2008). USA (čili hlavní „konzument“ jihoamerických drog) dlouhodobě bojuje proti pěstování koky a proti Moralesově benevolenci. Také opoziční síly přesvědčují svět, že vláda lže a produkce koky je mnohonásobně vyšší, než Morales přiznává. Otázka je, do jaké míry opozice přehání… Odhaduje se, že v roce 2011 bolívijská produkce koky činila 48 000 tun - z toho 28 % šlo na legální účely (konzumace, léčiva apod.), zatímco 72 % bylo využito k výrobě kokainu (NOTICIAS24.COM 2008). Nicméně dá se říct, že z hlediska globalizace obchod s kokou nezná hranice.</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E244EA">
      <w:pPr>
        <w:pStyle w:val="Nadpis1"/>
        <w:ind w:firstLine="0"/>
        <w:jc w:val="left"/>
      </w:pPr>
      <w:bookmarkStart w:id="100" w:name="_Toc331024001"/>
      <w:r w:rsidRPr="003118B3">
        <w:t>Kokový nápoj vs. globalizovaný trh</w:t>
      </w:r>
      <w:bookmarkEnd w:id="100"/>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Název Coca-Colla přímo odkazuje k většinovému (indiánskému) obyvatelstvu Bolívie. Lidé ze západu jsou běžně označováni jako collas (příp. kollas), zatímco obyvatelé východu jsou cambas (Rodríguez Mir 2008). V posledních letech se kollas prostřednictvím Evo Moralese dostali k moci a snaží se řídit zemi podle svého. Bolívijská vláda zrovnoprávnila indiány, přinejmenším symbolicky, schválením ústavy v roce 2009, která definuje indiány jako zcela rovnocenné ostatním obyvatelům (Gamboa Rocabado 2010). Vládní politika se snaží potlačovat vše cizí a staví se proti „zlému“ západnímu světu, především USA. Světoznámý nápoj Coca-Cola vtrhnul na scénu v roce </w:t>
      </w:r>
      <w:smartTag w:uri="urn:schemas-microsoft-com:office:smarttags" w:element="metricconverter">
        <w:smartTagPr>
          <w:attr w:name="ProductID" w:val="2010 a"/>
        </w:smartTagPr>
        <w:r w:rsidRPr="003118B3">
          <w:rPr>
            <w:rFonts w:ascii="Times New Roman" w:hAnsi="Times New Roman" w:cs="Times New Roman"/>
            <w:sz w:val="24"/>
            <w:szCs w:val="24"/>
          </w:rPr>
          <w:t>2010 a</w:t>
        </w:r>
      </w:smartTag>
      <w:r w:rsidRPr="003118B3">
        <w:rPr>
          <w:rFonts w:ascii="Times New Roman" w:hAnsi="Times New Roman" w:cs="Times New Roman"/>
          <w:sz w:val="24"/>
          <w:szCs w:val="24"/>
        </w:rPr>
        <w:t xml:space="preserve"> za podpory bolívijské vlády měl ovládnout domácí trh. Nápoj produkuje Lidová společnost za zprůmyslnění koky (Organización Social para la Industrialización de la Coca, zkráceně OSPICOCA), která zaměstnává na 9 000 osob a sídlí v andském La Paz. Na „indiánském“ západě země se také nápoj nejvíce prodává - vedle La Paz především v Cochabambě. Coca-Colla se však ujala i ve východní provincii Santa Cruz (ABC.ES). Prezident společnosti Víctor Ledezma tvrdí, že „nevidí souvislost se světoznámou Coca-Colou, protože ta vyrábí sodovky, zatímco my (Bolívijci) vyrábíme energetický nápoj“. Základním zdrojem zmíněné energie je koka - posvátná plodina andských Indiánů. Ostatně i americká Coca-Cola původně používala koku jako přísadu, dokud ji OSN v roce 1961 nepřidala na černou listinu omamných látek (ABC.ES). Navzdory odvážným prohlášením se Coca Colla příliš neprosadila, za což pravděpodobně může amatérské pojeti velkolepé myšlenky na ovládnutí trhu. Ani vládní podpora nebyla a snad ani nemohla být taková, aby nápoj výrazně prosadila. Přesto se jedná o první vlaštovku ze strany dlouhodobě decimované bolívijské ekonomiky. Přijde v budoucnu více podobných, a třeba úspěšnějších, projektů, jak čelit globalizovanému trhu a zahraniční produkci?</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E244EA">
      <w:pPr>
        <w:widowControl w:val="0"/>
        <w:spacing w:line="276" w:lineRule="auto"/>
        <w:jc w:val="both"/>
        <w:rPr>
          <w:rFonts w:ascii="Times New Roman" w:hAnsi="Times New Roman" w:cs="Times New Roman"/>
          <w:sz w:val="24"/>
          <w:szCs w:val="24"/>
        </w:rPr>
      </w:pPr>
      <w:r w:rsidRPr="003118B3">
        <w:rPr>
          <w:rFonts w:ascii="Times New Roman" w:hAnsi="Times New Roman" w:cs="Times New Roman"/>
          <w:noProof/>
          <w:sz w:val="24"/>
          <w:szCs w:val="24"/>
          <w:lang w:eastAsia="cs-CZ"/>
        </w:rPr>
        <w:lastRenderedPageBreak/>
        <w:drawing>
          <wp:inline distT="0" distB="0" distL="0" distR="0" wp14:anchorId="30A6DC6F" wp14:editId="0C636B50">
            <wp:extent cx="3179445" cy="3870325"/>
            <wp:effectExtent l="0" t="0" r="1905" b="0"/>
            <wp:docPr id="53" name="Obrázek 53" descr="48104_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48104_1_12"/>
                    <pic:cNvPicPr>
                      <a:picLocks noChangeAspect="1" noChangeArrowheads="1"/>
                    </pic:cNvPicPr>
                  </pic:nvPicPr>
                  <pic:blipFill>
                    <a:blip r:embed="rId95">
                      <a:extLst>
                        <a:ext uri="{28A0092B-C50C-407E-A947-70E740481C1C}">
                          <a14:useLocalDpi xmlns:a14="http://schemas.microsoft.com/office/drawing/2010/main" val="0"/>
                        </a:ext>
                      </a:extLst>
                    </a:blip>
                    <a:srcRect b="9000"/>
                    <a:stretch>
                      <a:fillRect/>
                    </a:stretch>
                  </pic:blipFill>
                  <pic:spPr bwMode="auto">
                    <a:xfrm>
                      <a:off x="0" y="0"/>
                      <a:ext cx="3179445" cy="3870325"/>
                    </a:xfrm>
                    <a:prstGeom prst="rect">
                      <a:avLst/>
                    </a:prstGeom>
                    <a:noFill/>
                    <a:ln>
                      <a:noFill/>
                    </a:ln>
                  </pic:spPr>
                </pic:pic>
              </a:graphicData>
            </a:graphic>
          </wp:inline>
        </w:drawing>
      </w:r>
    </w:p>
    <w:p w:rsidR="0016254A" w:rsidRPr="003118B3" w:rsidRDefault="0016254A" w:rsidP="00E244EA">
      <w:pPr>
        <w:widowControl w:val="0"/>
        <w:spacing w:line="276" w:lineRule="auto"/>
        <w:jc w:val="both"/>
        <w:rPr>
          <w:rFonts w:ascii="Times New Roman" w:hAnsi="Times New Roman" w:cs="Times New Roman"/>
          <w:sz w:val="24"/>
          <w:szCs w:val="24"/>
        </w:rPr>
      </w:pPr>
      <w:r w:rsidRPr="003118B3">
        <w:rPr>
          <w:rFonts w:ascii="Times New Roman" w:hAnsi="Times New Roman" w:cs="Times New Roman"/>
          <w:sz w:val="24"/>
          <w:szCs w:val="24"/>
        </w:rPr>
        <w:t>Obr. 3 Víctor Ledezma oficiálně představuje Coca Collu</w:t>
      </w:r>
    </w:p>
    <w:p w:rsidR="0016254A" w:rsidRPr="00E244EA" w:rsidRDefault="0016254A" w:rsidP="00E244EA">
      <w:pPr>
        <w:widowControl w:val="0"/>
        <w:spacing w:line="276" w:lineRule="auto"/>
        <w:jc w:val="both"/>
        <w:rPr>
          <w:rFonts w:ascii="Times New Roman" w:hAnsi="Times New Roman" w:cs="Times New Roman"/>
          <w:i/>
          <w:sz w:val="20"/>
          <w:szCs w:val="20"/>
        </w:rPr>
      </w:pPr>
      <w:r w:rsidRPr="00E244EA">
        <w:rPr>
          <w:rFonts w:ascii="Times New Roman" w:hAnsi="Times New Roman" w:cs="Times New Roman"/>
          <w:i/>
          <w:sz w:val="20"/>
          <w:szCs w:val="20"/>
        </w:rPr>
        <w:t>Zdroj: www.lapatriaenlinea.com</w:t>
      </w:r>
    </w:p>
    <w:p w:rsidR="00E244EA" w:rsidRPr="003118B3" w:rsidRDefault="00E244EA" w:rsidP="00E244EA">
      <w:pPr>
        <w:widowControl w:val="0"/>
        <w:spacing w:line="276" w:lineRule="auto"/>
        <w:jc w:val="both"/>
        <w:rPr>
          <w:rFonts w:ascii="Times New Roman" w:hAnsi="Times New Roman" w:cs="Times New Roman"/>
          <w:sz w:val="24"/>
          <w:szCs w:val="24"/>
        </w:rPr>
      </w:pPr>
    </w:p>
    <w:p w:rsidR="0016254A" w:rsidRPr="003118B3" w:rsidRDefault="0016254A" w:rsidP="00E244EA">
      <w:pPr>
        <w:pStyle w:val="Nadpis1"/>
        <w:ind w:firstLine="0"/>
        <w:jc w:val="left"/>
      </w:pPr>
      <w:bookmarkStart w:id="101" w:name="_Toc331024002"/>
      <w:r w:rsidRPr="003118B3">
        <w:t>Závěr</w:t>
      </w:r>
      <w:bookmarkEnd w:id="101"/>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Bolívie je relativně zaostalou zemí, přesto i zde se významně projevily globalizační tendence počínaje 70. lety 20. století. Proamerická neoliberální politika vyústila v sociální nepokoje a vznik lidových hnutí, které bránily svoji potlačovanou lokální identitu. Důležitý bod - dopady globalizace v Bolívii vedly ke zrychlení a prohloubení sociálních rozdílů. To postupně vyústilo ke vzniku dvou druhů nacionalizmu: 1) nutnost zachování lokální identity, 2) ochrana přírodních zdrojů před „zlým imperialismem“ přicházejícím z vyspělého globalizovaného světa. Oba body bylo možné uskutečnit díky indiánské vládě Evo Moralese, který se do prezidentského úřadu vyšvihnul v roce 2005. Avšak i současná vláda si uvědomuje, že není možné se uzavřít před volným trhem. Dále se rozvíjí mezinárodní obchod s olejninami, především sójou, který je nejviditelnějším důsledkem neoliberální politiky předchozích let. Na trh se úspěšně uplatňuje i zemní plyn z východní Bolívie. Morales reguluje zisky rozvinutého východu, přerozděluje je mezi indiány na západě země a plánovitě nacionalizuje průmysl. Velké zahraniční koncerny se nedokážou účinně bránit - za Moralesem totiž stojí státníci celé jižní Ameriky. Těžařské koncerny zde stále působí (Bolívie se bez jejich investic neobejde), avšak méně než před rokem 2005. Bolívie také značně profituje na ilegálním obchodu s kokou, jejíž produkce je mnohem vyšší než bolívijská vláda přiznává. Morales koku srdnatě obhajuje, lokální výrobky jako nápoj „Coca Colla“ se však na trhu dosud příliš neuplatnily.</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3118B3" w:rsidRPr="00DF128A" w:rsidRDefault="003118B3" w:rsidP="003118B3">
      <w:pPr>
        <w:widowControl w:val="0"/>
        <w:spacing w:line="276" w:lineRule="auto"/>
        <w:jc w:val="both"/>
        <w:rPr>
          <w:rFonts w:ascii="Times New Roman" w:hAnsi="Times New Roman" w:cs="Times New Roman"/>
          <w:sz w:val="24"/>
          <w:szCs w:val="24"/>
        </w:rPr>
      </w:pPr>
      <w:r w:rsidRPr="00622CAB">
        <w:rPr>
          <w:rFonts w:ascii="Times New Roman" w:hAnsi="Times New Roman" w:cs="Times New Roman"/>
          <w:b/>
          <w:sz w:val="24"/>
          <w:szCs w:val="24"/>
        </w:rPr>
        <w:t>LITERATURA A ZDROJE</w:t>
      </w:r>
      <w:r w:rsidRPr="00DF128A">
        <w:rPr>
          <w:rFonts w:ascii="Times New Roman" w:hAnsi="Times New Roman" w:cs="Times New Roman"/>
          <w:sz w:val="24"/>
          <w:szCs w:val="24"/>
        </w:rPr>
        <w: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ABC.ES (2010). La Coca Colla quiere ganarse mercado boliviano y limipiar estigma de la coca omplejidad, diversidad y heterogeneidad social [online]. Dostupné na WWW: &lt;http://www.abc.es/agencias/noticia.asp?noticia=349381&gt;.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BUSINESSINFO.CZ (2010). Bolívie: Zahraniční obchod země [online]. Dostupné na WWW: &lt;http://www.businessinfo.cz/cz/sti/bolivie-zahranicne-politicka-orientace/3/1001417&gt;.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Díaz, José Luis (2005). Santa Cruz de la Sierra: La Demanda de Autonomía [online]. Dostupné na WWW: &lt;http://avancearchivo.com/avance/santa-cruz-de-la-sierra-la-demanda-de-autonom-a&gt;.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FAS.USDA.GOV (2005). Bolivia: Agriculture Overview [online]. Dostupné na WWW: &lt;http://www.fas.usda.gov/pecad/highlights/2005/10/bolivia_12oct2005/&gt;.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Gamboa Rocabado, Franco (2010). Transformaciones constitucionales en Bolivia: Estado indígena y conflictos regionales In Colombia Internacional 71, 2010: 151-188.</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Lünstedt, Christian; Bonifaz, Gustavo (2010). Inserción de Bolivia en la globalización [online]. Dostupné na WWW: &lt;http://aulalibrebol.com/index.php?option=com_content&amp;view=article&amp;id=1809:insecion-de-bolivia-en-la-globalizacion&amp;catid=84:opinion&gt;.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MIRABOLIVIA.COM (2010). Historia de la República de Bolivia [on-line]. Dostupné na WWW: &lt;http://www.mirabolivia.com/edu/historia.htm&gt;.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NOTICIAS24.COM (2008). Los cultivos de coca en Bolivia han aumentado con Evo Morales [online]. Dostupné na WWW: &lt;http://www.noticias24.com/actualidad/noticia/10540/los-cultivos-de-coca-en-bolivia-han-aumentado-con-evo-morales&gt;.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Novotný, Gustav (2011). Politický konflikt v Bolívii: geografická analýza (bakalářská diplomová práce). Brno: Masarykova univerzita, Přírodovědecké fakulta.</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Pérez Luna, Mamerto (2007). La soya en Bolivia: ¿El grano que no brilla? [online]. Dostupné na WWW: &lt; http://ase.tufts.edu/gdae/Pubs/rp/wg/AgricultureBook_Span/PromesasPeligrosCh5Perez.pdf/&gt;.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Perreault, Thomas (2008) Natural Gas, Indigenous Mobilization and the Bolivian State: Identities, Conflict and Cohesion. UNRISD, Ženeva.</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Poma, Muruchi (2008). Evo Morales: de cocalero a presidente de Bolivia. Flor del Viento Ediciones, Barcelona.</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Rodríguez Mir, Javier (2008). Complejidad, diversidad y heterogeneidad social. Bolivia y sus implicaciones multiculturales desde una perspectiva antropológica. In Revista de Antropología Experimental 8, 2008: 341-349.</w:t>
      </w:r>
    </w:p>
    <w:p w:rsidR="0016254A" w:rsidRPr="003264DF" w:rsidRDefault="0016254A" w:rsidP="003264DF">
      <w:pPr>
        <w:widowControl w:val="0"/>
        <w:spacing w:after="120" w:line="276" w:lineRule="auto"/>
        <w:jc w:val="both"/>
        <w:rPr>
          <w:rFonts w:ascii="Times New Roman" w:hAnsi="Times New Roman" w:cs="Times New Roman"/>
          <w:iCs/>
          <w:sz w:val="20"/>
          <w:szCs w:val="20"/>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br w:type="page"/>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16254A" w:rsidRDefault="0016254A" w:rsidP="003118B3">
      <w:pPr>
        <w:pStyle w:val="Nadpis1"/>
        <w:ind w:firstLine="0"/>
      </w:pPr>
      <w:bookmarkStart w:id="102" w:name="_Toc331024003"/>
      <w:r w:rsidRPr="0016254A">
        <w:t>Vnímanie globalizácie z feministického pohľadu</w:t>
      </w:r>
      <w:bookmarkEnd w:id="102"/>
    </w:p>
    <w:p w:rsidR="0016254A" w:rsidRPr="003118B3" w:rsidRDefault="0016254A" w:rsidP="003118B3">
      <w:pPr>
        <w:widowControl w:val="0"/>
        <w:spacing w:line="276" w:lineRule="auto"/>
        <w:ind w:firstLine="709"/>
        <w:jc w:val="center"/>
        <w:rPr>
          <w:rFonts w:ascii="Times New Roman" w:hAnsi="Times New Roman" w:cs="Times New Roman"/>
          <w:sz w:val="24"/>
          <w:szCs w:val="24"/>
        </w:rPr>
      </w:pPr>
    </w:p>
    <w:p w:rsidR="0016254A" w:rsidRPr="003118B3" w:rsidRDefault="0016254A" w:rsidP="003118B3">
      <w:pPr>
        <w:widowControl w:val="0"/>
        <w:spacing w:line="276" w:lineRule="auto"/>
        <w:jc w:val="center"/>
        <w:rPr>
          <w:rFonts w:ascii="Times New Roman" w:hAnsi="Times New Roman" w:cs="Times New Roman"/>
          <w:i/>
          <w:sz w:val="24"/>
          <w:szCs w:val="24"/>
        </w:rPr>
      </w:pPr>
      <w:bookmarkStart w:id="103" w:name="_Toc320993534"/>
      <w:r w:rsidRPr="003118B3">
        <w:rPr>
          <w:rFonts w:ascii="Times New Roman" w:hAnsi="Times New Roman" w:cs="Times New Roman"/>
          <w:i/>
          <w:sz w:val="24"/>
          <w:szCs w:val="24"/>
        </w:rPr>
        <w:t>Lucia Kolláriková</w:t>
      </w:r>
      <w:bookmarkEnd w:id="103"/>
    </w:p>
    <w:p w:rsidR="0016254A" w:rsidRPr="003118B3" w:rsidRDefault="0016254A" w:rsidP="003118B3">
      <w:pPr>
        <w:widowControl w:val="0"/>
        <w:spacing w:line="276" w:lineRule="auto"/>
        <w:ind w:firstLine="709"/>
        <w:jc w:val="both"/>
        <w:rPr>
          <w:rFonts w:ascii="Times New Roman" w:hAnsi="Times New Roman" w:cs="Times New Roman"/>
          <w:i/>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Dnešný svet na jednej strane znižuje a naopak, na druhej zvyšuje nerovnosti všade kam sa pozrieme. Tento fakt súvisí s globalizáciou spoločnosti, výrobných systémov, deľby práce, kultúry atď. Je potrebné sa bližšie pozrieť na sociálne skupiny, ktoré sú najviac negatívne ovplyvnené týmto trendom. Aj keď v spoločnosti prevláda názor, že ženy z integrácie svetového trhu profitujú, lebo v priemyslových odvetviach, kde je veľký podiel manuálnej práce sa ženám dáva prednosť. </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Práve tí, ktorý najviac hýbu svetovou ekonomikou</w:t>
      </w:r>
      <w:r w:rsidRPr="003118B3">
        <w:rPr>
          <w:rFonts w:ascii="Times New Roman" w:hAnsi="Times New Roman" w:cs="Times New Roman"/>
          <w:sz w:val="24"/>
          <w:szCs w:val="24"/>
        </w:rPr>
        <w:footnoteReference w:id="85"/>
      </w:r>
      <w:r w:rsidRPr="003118B3">
        <w:rPr>
          <w:rFonts w:ascii="Times New Roman" w:hAnsi="Times New Roman" w:cs="Times New Roman"/>
          <w:sz w:val="24"/>
          <w:szCs w:val="24"/>
        </w:rPr>
        <w:t xml:space="preserve"> sa k nej správajú s najvyšším dešpektom. Preto sa práca bližšie zameria na popis a charakteristiku súvislostí, ktoré sa spájajú s nerovným genderovým rozdelením pracovných príležitostí v prostredí Českej republiky. Je súčasné spoločenské usporiadanie (resp. deľba práce) výhodné, alebo nevýhodné pre ženy vo výrobnom sektore národného hospodárstva? Sú tu nejaké nerovnosti? Dá sa predpokladať, že ak tu sú nejaké nerovnosti, vzhľadom k doterajšiemu vývoju sa budú vyrovnávať, alebo skôr prehlbovať? </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E244EA">
      <w:pPr>
        <w:pStyle w:val="Nadpis1"/>
        <w:ind w:firstLine="0"/>
        <w:jc w:val="left"/>
      </w:pPr>
      <w:bookmarkStart w:id="104" w:name="_Toc331024004"/>
      <w:r w:rsidRPr="003118B3">
        <w:t>FEMININIZMUS</w:t>
      </w:r>
      <w:bookmarkEnd w:id="104"/>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Nie je jednoduché nezainteresovane nahliadať na problém globalizácie z feministického pohľadu. Aj keď je všeobecne rozšírený názor, že feministky sú frigidné ženské, odmietajúce mužov, pravda je niekde inde. Femimizmus pôvodne vznikol odčlenením z myšlienkového smeru postmodernizmu a medzi jeho hlavné ciele patrí „potreba zviditeľniť špecifickosť ženskej perspektívy a ženského prístupu k riešeniu problémov minulosti i súčasnosti“ (http://ii.fmph.uniba.sk/~filit/fvf/feminizmus. html). Samozrejme, že v samotnom myšlienkovom smere existuje radikálnejšia a liberálnejšia vetva, ktorá sa snaží riešiť tento problém. Pre potreby práce však bola zvolená tá liberálnejšia, ktorá sa viac približuje neutrálnym názorom, prípadne hodnotí problémy žien z mužského pohľadu.</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Genderové štúdia tvrdia, že svet sa dá rozdeliť na femínny a maskulínny. Rovnako aj pojem ako globalinosť / globalizácia (maskulínny, lebo procesy na ňom sa odohrávajúce sa dejú vo verejnej, medzinárodnej úrovni) a lokálnosť / lokalizácia (femínne, procesy sa odohrávajú na národnej / domáckej / rodinnej pôde). Teda procesy globálne sú vnímané ako prirodzené, nevyhnuté (voľne prebrané z Kolářová 2007:1), pričom v súčasnosti čoraz viac žien nútia vstupovať do mužského sveta „migrácií a výroby“ (Freeman 2001:1015). Kolářová (2007:2) tvrdí, že muži majú väčší prospech z globálneho trhu, lebo vďaka deľbe práce a presunu výrobných činností do LDRs</w:t>
      </w:r>
      <w:r w:rsidRPr="003118B3">
        <w:rPr>
          <w:rFonts w:ascii="Times New Roman" w:hAnsi="Times New Roman" w:cs="Times New Roman"/>
          <w:sz w:val="24"/>
          <w:szCs w:val="24"/>
        </w:rPr>
        <w:footnoteReference w:id="86"/>
      </w:r>
      <w:r w:rsidRPr="003118B3">
        <w:rPr>
          <w:rFonts w:ascii="Times New Roman" w:hAnsi="Times New Roman" w:cs="Times New Roman"/>
          <w:sz w:val="24"/>
          <w:szCs w:val="24"/>
        </w:rPr>
        <w:t xml:space="preserve"> s podporou „produkce globálního jihu určena na export a migrace do zemí globálního severu se feminizovaly zejména v důsledku globalizačních procesů“ (rovnako Kolářová 2007:1). Avšak hodnotenie tohto trendu pre Českú republiku je zložitejšie, z dôvodu nedostatku dát po transformácií národného hospodárstva. </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E244EA">
      <w:pPr>
        <w:pStyle w:val="Nadpis1"/>
        <w:ind w:firstLine="0"/>
        <w:jc w:val="left"/>
      </w:pPr>
      <w:bookmarkStart w:id="105" w:name="_Toc331024005"/>
      <w:r w:rsidRPr="003118B3">
        <w:t>POHĽAD NA GLOBALIZÁCIU</w:t>
      </w:r>
      <w:bookmarkEnd w:id="105"/>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Niektorí autori (Wichterich, Kolářová, Connell) tvrdia, že mužskú presilu v globalizovanom svete taktiež umocňuje prístup ku zdrojom. Globalizácia otvorila svetové trhy širším vrstvám ľudí, no nie všetkým v rovnakej miere. Tok svetového kapitálu sa otvorením trhov znásobil, rozdelenie ľudskej práce sa transformovalo len do obmedzeného počtu lokalít. Nie je to pritom nijak abstraktný pojem, pre milióny žien je to každodenná realita. „Globalizační tendence – přesuny na jiná místa, časová nesouběžnost a prudké zlomy mají na ženy v celosvětovém měřítku velmi rozdílné, často protichůdné dopady. Globalizace zasahuje a mění sociální systémy, kultury a ekonomiky různým způsobem. V zemích Východu a Jihu je příčinou mohutných erozí a radikálních zvratů, naopak v průmyslových zemích Severu je jejím efektem často spíše modernizace a přizpůsobení“ (Wichterich 2000:11). </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Tým, že sa miesta produkcie (hlavne v textilnom, hračkárskom, či elektrotechnickom priemysle) presunuli do krajín s lacnejšou pracovnou silou (ako dôsledok úspor ziskov firiem), pracovné podmienky zamestnancov sa zhoršili. Nové výrobné postupy, často krát naviazané na spôsoby Západného sveta, len deštruujú pracovníkov vyrábajúcich tovar pre tieto trhy. Do tovární, ako je známe, sa prijímajú hlavne mladé ženy, pochádzajúce najmä z chudobných dedín. Sú preferované, lebo majú cit pre detail a nepoznajú svoje práva. V týchto krajinách (hlavne oblasť JV Ázie a Latinskej Ameriky), kde neustále panuje rozdeľovanie sveta na mužsko ženský a kde sa ku vzdelaniu (získaniu znalosti písma a čítania) dostávajú predovšetkým muži, ktorí si pracovnú zmluvu aspoň vedia prečítať, príťažou pre vykorisťovateľov. Je samozrejmé, že pracovníci / pracovníčky pracujú za minimálnu mzdu bez nároku na akékoľvek sociálne výhody, podpory v práce neschopnosti, materskej, zdravotných podpor a i. Preto je zrejmé, že tehotenstvo</w:t>
      </w:r>
      <w:r w:rsidRPr="003118B3">
        <w:rPr>
          <w:rFonts w:ascii="Times New Roman" w:hAnsi="Times New Roman" w:cs="Times New Roman"/>
          <w:sz w:val="24"/>
          <w:szCs w:val="24"/>
        </w:rPr>
        <w:footnoteReference w:id="87"/>
      </w:r>
      <w:r w:rsidRPr="003118B3">
        <w:rPr>
          <w:rFonts w:ascii="Times New Roman" w:hAnsi="Times New Roman" w:cs="Times New Roman"/>
          <w:sz w:val="24"/>
          <w:szCs w:val="24"/>
        </w:rPr>
        <w:t xml:space="preserve"> pracovníčky je jasný dôvod pre prepustenie, a toto miesto je vzápätí nahradené novou pracovníčkou. Neznalosť práv, posilnená fyzickou a psychickou obavou pred trestom a nepochopením zo strany mužov, nedovoľuje ich zhromažďovanie v odborových organizáciách. Podľa Kolářová (2007:8) „se hnuti lokalnich, zejmena chudych žen soustřeďuji předevšim do dvou oblasti: hnuti za prava a demokracii a hnuti za naplněni existenčnich potřeb a přežiti. Existenčni potřeby zahrnuji naklady na bydleni, statni služby a davky, kvalitu životniho prostředi a přistup k socialni infrastruktuře. To všechno je v současnosti ovlivněno globalni ekonomickou politikou, na ni ženy reaguji mobilizaci k ochraně sve existence. Utlum statnich socialnich podpor a jistot ma dopad jak na obtižnějši zajišťovani živobyti, tak i na žensky aktivismus.“</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Dá sa tvrdiť, že krajinám tretieho sveta priniesli udalosti posledných 30 rokov vyššiu zamestnanosť, no tiež sa s týmto viaže aj fakt, že sa to deje „převážně v podobě špatně placených a sociálně nezajištěných míst, v sociální oblasti dochází k nárůstu povinností, roste konkurence a sexistické násilí, vrací se konzervatismus, novou kulturou se stává bezbřehý konzum, a při vzrůstající sociální nerovnosti jsou ženy nuceny hledat novou identitu“ (Wichterich 2000:13). Je potrebné taktiež spomenúť, že zhoršovaním životných podmienok viedlo k tomu, že ženy musia vynaložiť viac úsilia k získavaniu zdrojov obživy (voľne prebrané z Kolářová 2007:8).</w:t>
      </w:r>
    </w:p>
    <w:p w:rsidR="0016254A" w:rsidRPr="003118B3" w:rsidRDefault="0016254A" w:rsidP="00E244EA">
      <w:pPr>
        <w:pStyle w:val="Nadpis1"/>
        <w:ind w:firstLine="0"/>
        <w:jc w:val="left"/>
      </w:pPr>
    </w:p>
    <w:p w:rsidR="0016254A" w:rsidRPr="003118B3" w:rsidRDefault="0016254A" w:rsidP="00E244EA">
      <w:pPr>
        <w:pStyle w:val="Nadpis1"/>
        <w:ind w:firstLine="0"/>
        <w:jc w:val="left"/>
      </w:pPr>
      <w:bookmarkStart w:id="106" w:name="_Toc331024006"/>
      <w:r w:rsidRPr="003118B3">
        <w:t>ČESKÁ GLOBALIZOVANÁ SPOLOČNOSŤ</w:t>
      </w:r>
      <w:bookmarkEnd w:id="106"/>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ab/>
        <w:t xml:space="preserve">Hodnotenie dopadov globalizácie na českú spoločnosť je zložitý proces. Za prvé je potrebné si určiť, dobu, ktorú môžeme považovať za globalizovanú. Pre tento moment som si zvolila otvorenie hraníc západným spoločnostiam po revolúcií v roku 1989. </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ab/>
        <w:t xml:space="preserve">Ako som spomínala pred chvíľou, naša výroba bola, podobne ako v prípade ekonomík tretieho sveta orientovaná na export (avšak do krajín východného bloku). Zastaraný, avšak efektívne produkujúci textilný, potravinársky, strojárenský, chemický priemysel zamestnával nemalé počty žien. V prvých dvoch spomínaných boli ženami zastúpené takmer všetky robotnícke funkcie vyžadujúce jemnú a presnú prácu, v druhých dvoch hlavne v oblastiach prípravy jedál a upratovacích prác. </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ab/>
        <w:t>Neefektívnosť týchto fabrík po roku 1990 sa odrazila rýchlym prepúšťaním nadbytočných miest (a to hlavne ženských), ktoré boli a sú chápané ako menej kvalifikované. Ich pracovné pozície boli modernizované a zautomatizované, po vzore západoeurópskeho výrobného systému, či v poslednom desaťročí outsoursované zvonku (v prípade ženskej práce napríklad v prípade zmieneného strojárenského a chemického priemyslu). Treba však spomenúť, že rovnakým trendom automatizácie prešli aj odvetvia zamestnávajúce mužov, no nie až v takej miere. Pre ilustráciu viď Tab.1 v Prílohy, konkrétne spracovateľský priemysel. Ako je patrné, počet mužských zamestnancov počas 16 rokov poklesol len o 2 percentné body, v prípade ženskej zamestnanosti o skoro 26 percentných bodov. Navyše tento trend posilňujú genderové stereotypy. Podľa nich v spoločnosti panuje (panoval) názor, že ženy sú predurčené starostlivosti o rodinu a domácnosť, a teda že aj ich kvalifikácia nie je natoľko dôležitá, aby zastávali významnejšie posty a dlhodobo sa venovali štúdiu, keď odídu na materskú, čo preruší ich pracovnú dráhu. V širšom pojímaní sa táto predstava dá aplikovať aj na robotníčky, ktorým nedostatočné vzdelanie zabraňuje vykonávať obsluhu strojov a zariadení vykonávajúcich základné pracovné postupy. Tiež je potrebné zmieniť, že obsluha strojov je primárne spájaná s maskulínnym mužom</w:t>
      </w:r>
      <w:r w:rsidRPr="003118B3">
        <w:rPr>
          <w:rFonts w:ascii="Times New Roman" w:hAnsi="Times New Roman" w:cs="Times New Roman"/>
          <w:sz w:val="24"/>
          <w:szCs w:val="24"/>
        </w:rPr>
        <w:footnoteReference w:id="88"/>
      </w:r>
      <w:r w:rsidRPr="003118B3">
        <w:rPr>
          <w:rFonts w:ascii="Times New Roman" w:hAnsi="Times New Roman" w:cs="Times New Roman"/>
          <w:sz w:val="24"/>
          <w:szCs w:val="24"/>
        </w:rPr>
        <w:t>.</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ab/>
        <w:t xml:space="preserve">Odhliadnutím od výrobného sektoru národného hospodárstva k sektoru služieb je situácia podstatne iná. Uvoľnením pracujúcej masy z výrobného sektoru po transformácií bolo potrebné transformovať aj vnútorné rozdelenie národného hospodárstva. Postupný prechod k terciarizácií bol však pre ženy výhodnejší, avšak pri obetovaní iných statkov. Mohutným prepúšťaním z tovární sa zrazu na pracovnom trhu objavil nadbytok nekvalifikovanej pracovnej sily. Neschopnosť, alebo neochota (v dobe kedy nebola potrebná 100% zamestnanosť) získať zamestnanie podporovaná zmýšľaním sociálneho štátu so sociálnymi dávkami, viedli mnohé ženy k rozhodnutiu zostať doma (viď. </w:t>
      </w:r>
      <w:proofErr w:type="gramStart"/>
      <w:r w:rsidRPr="003118B3">
        <w:rPr>
          <w:rFonts w:ascii="Times New Roman" w:hAnsi="Times New Roman" w:cs="Times New Roman"/>
          <w:sz w:val="24"/>
          <w:szCs w:val="24"/>
        </w:rPr>
        <w:t>http</w:t>
      </w:r>
      <w:proofErr w:type="gramEnd"/>
      <w:r w:rsidRPr="003118B3">
        <w:rPr>
          <w:rFonts w:ascii="Times New Roman" w:hAnsi="Times New Roman" w:cs="Times New Roman"/>
          <w:sz w:val="24"/>
          <w:szCs w:val="24"/>
        </w:rPr>
        <w:t xml:space="preserve">://www.czso.cz/csu/2010edicniplan.nsf/kapitola/ 1413-10--14 Tab. 4 - 24. Míra nezaměstnanosti podle věkových skupin a vzdělání (VŠPS)). Okrem rozhodnutia byť nezamestnanou v nesprospech zamestnanosti žien (predovšetkým mladých žien) prispieva aj fakt, že sú častejšie zamestnávané na dočasné pracovné zmluvy, prípadne na dobu určitú (viď. </w:t>
      </w:r>
      <w:proofErr w:type="gramStart"/>
      <w:r w:rsidRPr="003118B3">
        <w:rPr>
          <w:rFonts w:ascii="Times New Roman" w:hAnsi="Times New Roman" w:cs="Times New Roman"/>
          <w:sz w:val="24"/>
          <w:szCs w:val="24"/>
        </w:rPr>
        <w:t>http</w:t>
      </w:r>
      <w:proofErr w:type="gramEnd"/>
      <w:r w:rsidRPr="003118B3">
        <w:rPr>
          <w:rFonts w:ascii="Times New Roman" w:hAnsi="Times New Roman" w:cs="Times New Roman"/>
          <w:sz w:val="24"/>
          <w:szCs w:val="24"/>
        </w:rPr>
        <w:t xml:space="preserve">://www.czso.cz/csu/2010edicniplan.nsf/kapitola/1413-10--14 Tab. 4 - 16. Mezinárodní srovnání - pracovní smlouvy uzavřené na dobu určitou). Pre zamestnávateľa je ekonomicky </w:t>
      </w:r>
      <w:r w:rsidRPr="003118B3">
        <w:rPr>
          <w:rFonts w:ascii="Times New Roman" w:hAnsi="Times New Roman" w:cs="Times New Roman"/>
          <w:sz w:val="24"/>
          <w:szCs w:val="24"/>
        </w:rPr>
        <w:lastRenderedPageBreak/>
        <w:t>výhodnejšie neinvestovať do pracovnej sily, ktorá preruší pracovný proces kvôli materskej dovolenke a taktiež je nepohodlné zamestnávať ženy s malými deťmi, kde je vysoké riziko častej absencií kvôli chorobe detí. Treba však podotknúť, že práca v domácnosti, aj keď ňou priemerná žena strávi 4 (Švédsko) až 5 hodín denne (Španielsko a Taliansko) je „neviditeľná“, lebo patrí do neproduktívnej sféry uzatvorená v domácnosti, a to aj navzdory faktu, že má nevyhnutný ekonomický význam (voľne prebrané z Hendlová 2007:7). Preto nerovná distribúcia domácej neplatenej práce medzi mužmi a ženami je následkom genderových stereotypov a zároveň sa podiela na ich udržovanie. S tým súvisí aj fakt, že „postavení žen na trhu práce je determinováno jejich pozici v rodině a způsobem, jakým je tato pozice vnímána muži, podobně jako jsou rodinné praktiky mužů podmíněny tendencemi pracovniho trhu“ (Radimska 2003: 4).</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Rozšírením obzorov a zmenou spoločenských pomerov sa vzdelané a sebestačné ženy  prepracovali na vysoké posty, no finančne si natoľko nepolepšili, lebo s rastúcim stupňom vzdelania nepriamo narastá ich finančné ohodnotenie v porovnaní s mužskou mzdou (viď </w:t>
      </w:r>
      <w:proofErr w:type="gramStart"/>
      <w:r w:rsidRPr="003118B3">
        <w:rPr>
          <w:rFonts w:ascii="Times New Roman" w:hAnsi="Times New Roman" w:cs="Times New Roman"/>
          <w:sz w:val="24"/>
          <w:szCs w:val="24"/>
        </w:rPr>
        <w:t>Obr.1).</w:t>
      </w:r>
      <w:proofErr w:type="gramEnd"/>
      <w:r w:rsidRPr="003118B3">
        <w:rPr>
          <w:rFonts w:ascii="Times New Roman" w:hAnsi="Times New Roman" w:cs="Times New Roman"/>
          <w:sz w:val="24"/>
          <w:szCs w:val="24"/>
        </w:rPr>
        <w:t xml:space="preserve"> </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noProof/>
          <w:sz w:val="24"/>
          <w:szCs w:val="24"/>
          <w:lang w:eastAsia="cs-CZ"/>
        </w:rPr>
        <w:drawing>
          <wp:inline distT="0" distB="0" distL="0" distR="0" wp14:anchorId="6D307D7C" wp14:editId="784AE43F">
            <wp:extent cx="4359275" cy="3391535"/>
            <wp:effectExtent l="19050" t="19050" r="22225" b="18415"/>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59275" cy="3391535"/>
                    </a:xfrm>
                    <a:prstGeom prst="rect">
                      <a:avLst/>
                    </a:prstGeom>
                    <a:noFill/>
                    <a:ln w="12700" cmpd="sng">
                      <a:solidFill>
                        <a:srgbClr val="000000"/>
                      </a:solidFill>
                      <a:miter lim="800000"/>
                      <a:headEnd/>
                      <a:tailEnd/>
                    </a:ln>
                    <a:effectLst/>
                  </pic:spPr>
                </pic:pic>
              </a:graphicData>
            </a:graphic>
          </wp:inline>
        </w:drawing>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Obr. 1: Mediány mzdy podľa úrovne vzdelania za rok 2009.</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bookmarkStart w:id="107" w:name="_Toc320993539"/>
      <w:r w:rsidRPr="003118B3">
        <w:rPr>
          <w:rFonts w:ascii="Times New Roman" w:hAnsi="Times New Roman" w:cs="Times New Roman"/>
          <w:sz w:val="24"/>
          <w:szCs w:val="24"/>
        </w:rPr>
        <w:t>(Zdroj: Ženy a muži v datech 2011</w:t>
      </w:r>
      <w:bookmarkEnd w:id="107"/>
      <w:r w:rsidRPr="003118B3">
        <w:rPr>
          <w:rFonts w:ascii="Times New Roman" w:hAnsi="Times New Roman" w:cs="Times New Roman"/>
          <w:sz w:val="24"/>
          <w:szCs w:val="24"/>
        </w:rPr>
        <w:t>)</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 xml:space="preserve">Okrem toho ich mzda tvorí asi len 75% mužskej (zdroj: http://www.czso.cz/csu/2010edicniplan.nsf/kapitola/1413-10--14, Tab. 4 - 34. Průměrné hrubé měsíční mzdy a mediány mezd). Na výslednú mzdu samozrejme vplývajú aj fakty ako počet odpracovaných nadčasových hodín (ktoré sú lepšie platené), neprerušený pracovný pomer (počet odpracovaných rokov tvorí podstatnú časť platu v zdravotníctve, školstve, či verejnej správe), nižšie dane (ak je manželka nezamestnaná) atď. </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E244EA">
      <w:pPr>
        <w:pStyle w:val="Nadpis1"/>
        <w:ind w:firstLine="0"/>
        <w:jc w:val="left"/>
      </w:pPr>
      <w:bookmarkStart w:id="108" w:name="_Toc320993540"/>
      <w:bookmarkStart w:id="109" w:name="_Toc331024007"/>
      <w:r w:rsidRPr="003118B3">
        <w:t>ZÁVER</w:t>
      </w:r>
      <w:bookmarkEnd w:id="108"/>
      <w:bookmarkEnd w:id="109"/>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ab/>
        <w:t xml:space="preserve">Česká republika sa v súčasnosti nachádza v období prijímania procesov </w:t>
      </w:r>
      <w:r w:rsidRPr="003118B3">
        <w:rPr>
          <w:rFonts w:ascii="Times New Roman" w:hAnsi="Times New Roman" w:cs="Times New Roman"/>
          <w:sz w:val="24"/>
          <w:szCs w:val="24"/>
        </w:rPr>
        <w:lastRenderedPageBreak/>
        <w:t xml:space="preserve">globalizácie v jej ranných štádiách. Česká spoločnosť je dennodenne ovplyvňovaná svetovým trhom, riadeným globálnymi hráčmi svetového obchodu. Z tohto obchodu však nezískavajú v rovnakej miere výhody muži a ženy. </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ab/>
        <w:t>Aby som si však dala odpoveď na otázky uvedené v úvode, je treba povedať, že postavenie žien vo výrobnom procese sa mení kultúru od kultúry, spoločnosť od spoločnosti, firma od firmy. V najobecnejšej rovine však nie je totožné s postavením a ohodnotením mužskej práce. Ako som deklarovala, ženská práca, tá menej kvalifikačne hodnotená, je omnoho viac náchylná na znižovanie stavov. Je jasné, že prepúšťanie z nadbytku sa v súčasnosti (v „post“ krízovej dobe a presunu výrobných odvetví do LDRs) deje u oboch pohlaví, avšak automatizácia výrobným postupov zasahuje vo väčšej miere práve ženy. Navyše najvyššia zamestnanosť žien v oblasti výroby sa objavuje v oblastiach ako potravinárska výroba, textilná výroba (teda tradične, spoločnosťou prijímané za „ženské“ oblasti), v ktorých sa aj platové ohodnotenie považuje za „ženské“, teda tesne nad hranicou minimálnej mzdy</w:t>
      </w:r>
      <w:r w:rsidRPr="003118B3">
        <w:rPr>
          <w:rFonts w:ascii="Times New Roman" w:hAnsi="Times New Roman" w:cs="Times New Roman"/>
          <w:sz w:val="24"/>
          <w:szCs w:val="24"/>
        </w:rPr>
        <w:footnoteReference w:id="89"/>
      </w:r>
      <w:r w:rsidRPr="003118B3">
        <w:rPr>
          <w:rFonts w:ascii="Times New Roman" w:hAnsi="Times New Roman" w:cs="Times New Roman"/>
          <w:sz w:val="24"/>
          <w:szCs w:val="24"/>
        </w:rPr>
        <w:t>. Genderové stereotypy o vhodných pozíciách významnou mierou ovplyvňujú zamestnávanie žien v mužských odvetviach. Ženy, ktoré sa snažia prenikať do mužského pracovného kolektívu sú častokrát fyzicky a psychicky obťažované, pričom ich schopnosti sú podceňované.</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ab/>
        <w:t>Na druhú stranu je potreba zmieniť, že ženská práca v domácnosti je stále nedocenená, aj keď v poslednom čase dochádza k zmene a do chodu domácnosti po inej ako finančnej stránke sa zapájajú aj muži. Navyše, samozrejme, že zmienená situácia platí pre ženy ako skupinu (nie jednotlivcov) a konkrétnom kontexte sa môže diferencovať.</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„Aby došlo k efektivní změně, je třeba dále diskutovat  o nerovném postavení žen, ale především otevřít velkou debatu o společenské roli mužů. Protože je to právě mužská role, která se dosud nijak dramaticky nezměnila, a proto neodpovída na vývoj, jimž prošla role žen v několika posledních dekádach“ (Hendlová 2007:11).</w:t>
      </w: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sectPr w:rsidR="0016254A" w:rsidRPr="003118B3" w:rsidSect="00F1337F">
          <w:footerReference w:type="even" r:id="rId97"/>
          <w:footerReference w:type="default" r:id="rId98"/>
          <w:headerReference w:type="first" r:id="rId99"/>
          <w:footerReference w:type="first" r:id="rId100"/>
          <w:pgSz w:w="11906" w:h="16838"/>
          <w:pgMar w:top="1417" w:right="1417" w:bottom="1417" w:left="1417" w:header="708" w:footer="708" w:gutter="0"/>
          <w:pgNumType w:start="0"/>
          <w:cols w:space="708"/>
          <w:titlePg/>
          <w:docGrid w:linePitch="360"/>
        </w:sectPr>
      </w:pPr>
      <w:bookmarkStart w:id="110" w:name="_Toc320993541"/>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lastRenderedPageBreak/>
        <w:t>Prílohy</w:t>
      </w:r>
      <w:bookmarkEnd w:id="110"/>
    </w:p>
    <w:p w:rsidR="0016254A" w:rsidRPr="003118B3" w:rsidRDefault="0016254A" w:rsidP="003118B3">
      <w:pPr>
        <w:widowControl w:val="0"/>
        <w:spacing w:line="276" w:lineRule="auto"/>
        <w:ind w:firstLine="709"/>
        <w:jc w:val="both"/>
        <w:rPr>
          <w:rFonts w:ascii="Times New Roman" w:hAnsi="Times New Roman" w:cs="Times New Roman"/>
          <w:sz w:val="24"/>
          <w:szCs w:val="24"/>
        </w:rPr>
      </w:pPr>
      <w:r w:rsidRPr="003118B3">
        <w:rPr>
          <w:rFonts w:ascii="Times New Roman" w:hAnsi="Times New Roman" w:cs="Times New Roman"/>
          <w:sz w:val="24"/>
          <w:szCs w:val="24"/>
        </w:rPr>
        <w:t>Tab.1: Zamestnaní podľa odvetvia ekonomickej činnosti CZ-NACE (VŠPS) pre rok 2010 (hodnoty sú v tisícoch).</w:t>
      </w:r>
    </w:p>
    <w:tbl>
      <w:tblPr>
        <w:tblW w:w="14800" w:type="dxa"/>
        <w:jc w:val="center"/>
        <w:tblInd w:w="55" w:type="dxa"/>
        <w:tblCellMar>
          <w:left w:w="70" w:type="dxa"/>
          <w:right w:w="70" w:type="dxa"/>
        </w:tblCellMar>
        <w:tblLook w:val="0000" w:firstRow="0" w:lastRow="0" w:firstColumn="0" w:lastColumn="0" w:noHBand="0" w:noVBand="0"/>
      </w:tblPr>
      <w:tblGrid>
        <w:gridCol w:w="480"/>
        <w:gridCol w:w="4340"/>
        <w:gridCol w:w="740"/>
        <w:gridCol w:w="740"/>
        <w:gridCol w:w="720"/>
        <w:gridCol w:w="720"/>
        <w:gridCol w:w="700"/>
        <w:gridCol w:w="700"/>
        <w:gridCol w:w="730"/>
        <w:gridCol w:w="730"/>
        <w:gridCol w:w="700"/>
        <w:gridCol w:w="700"/>
        <w:gridCol w:w="700"/>
        <w:gridCol w:w="700"/>
        <w:gridCol w:w="700"/>
        <w:gridCol w:w="700"/>
      </w:tblGrid>
      <w:tr w:rsidR="0016254A" w:rsidRPr="00E244EA" w:rsidTr="00F1337F">
        <w:trPr>
          <w:trHeight w:val="225"/>
          <w:jc w:val="center"/>
        </w:trPr>
        <w:tc>
          <w:tcPr>
            <w:tcW w:w="4820"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Odvětví činnosti</w:t>
            </w:r>
          </w:p>
        </w:tc>
        <w:tc>
          <w:tcPr>
            <w:tcW w:w="1480" w:type="dxa"/>
            <w:gridSpan w:val="2"/>
            <w:tcBorders>
              <w:top w:val="single" w:sz="4" w:space="0" w:color="auto"/>
              <w:left w:val="nil"/>
              <w:bottom w:val="single" w:sz="4" w:space="0" w:color="auto"/>
              <w:right w:val="single" w:sz="4" w:space="0" w:color="000000"/>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1993</w:t>
            </w:r>
          </w:p>
        </w:tc>
        <w:tc>
          <w:tcPr>
            <w:tcW w:w="1440" w:type="dxa"/>
            <w:gridSpan w:val="2"/>
            <w:tcBorders>
              <w:top w:val="single" w:sz="4" w:space="0" w:color="auto"/>
              <w:left w:val="nil"/>
              <w:bottom w:val="single" w:sz="4" w:space="0" w:color="auto"/>
              <w:right w:val="single" w:sz="4" w:space="0" w:color="000000"/>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1995</w:t>
            </w:r>
          </w:p>
        </w:tc>
        <w:tc>
          <w:tcPr>
            <w:tcW w:w="1400" w:type="dxa"/>
            <w:gridSpan w:val="2"/>
            <w:tcBorders>
              <w:top w:val="single" w:sz="4" w:space="0" w:color="auto"/>
              <w:left w:val="nil"/>
              <w:bottom w:val="single" w:sz="4" w:space="0" w:color="auto"/>
              <w:right w:val="single" w:sz="4" w:space="0" w:color="000000"/>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2000</w:t>
            </w:r>
          </w:p>
        </w:tc>
        <w:tc>
          <w:tcPr>
            <w:tcW w:w="1460" w:type="dxa"/>
            <w:gridSpan w:val="2"/>
            <w:tcBorders>
              <w:top w:val="single" w:sz="4" w:space="0" w:color="auto"/>
              <w:left w:val="nil"/>
              <w:bottom w:val="single" w:sz="4" w:space="0" w:color="auto"/>
              <w:right w:val="single" w:sz="4" w:space="0" w:color="000000"/>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2005</w:t>
            </w:r>
          </w:p>
        </w:tc>
        <w:tc>
          <w:tcPr>
            <w:tcW w:w="1400" w:type="dxa"/>
            <w:gridSpan w:val="2"/>
            <w:tcBorders>
              <w:top w:val="single" w:sz="4" w:space="0" w:color="auto"/>
              <w:left w:val="nil"/>
              <w:bottom w:val="single" w:sz="4" w:space="0" w:color="auto"/>
              <w:right w:val="single" w:sz="4" w:space="0" w:color="000000"/>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2007</w:t>
            </w:r>
          </w:p>
        </w:tc>
        <w:tc>
          <w:tcPr>
            <w:tcW w:w="1400" w:type="dxa"/>
            <w:gridSpan w:val="2"/>
            <w:tcBorders>
              <w:top w:val="single" w:sz="4" w:space="0" w:color="auto"/>
              <w:left w:val="nil"/>
              <w:bottom w:val="single" w:sz="4" w:space="0" w:color="auto"/>
              <w:right w:val="single" w:sz="4" w:space="0" w:color="000000"/>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2008</w:t>
            </w:r>
          </w:p>
        </w:tc>
        <w:tc>
          <w:tcPr>
            <w:tcW w:w="1400" w:type="dxa"/>
            <w:gridSpan w:val="2"/>
            <w:tcBorders>
              <w:top w:val="single" w:sz="4" w:space="0" w:color="auto"/>
              <w:left w:val="nil"/>
              <w:bottom w:val="single" w:sz="4" w:space="0" w:color="auto"/>
              <w:right w:val="single" w:sz="4" w:space="0" w:color="000000"/>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2009</w:t>
            </w:r>
          </w:p>
        </w:tc>
      </w:tr>
      <w:tr w:rsidR="0016254A" w:rsidRPr="00E244EA" w:rsidTr="00F1337F">
        <w:trPr>
          <w:trHeight w:val="225"/>
          <w:jc w:val="center"/>
        </w:trPr>
        <w:tc>
          <w:tcPr>
            <w:tcW w:w="4820"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Celkem</w:t>
            </w:r>
          </w:p>
        </w:tc>
        <w:tc>
          <w:tcPr>
            <w:tcW w:w="74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Muži</w:t>
            </w:r>
          </w:p>
        </w:tc>
        <w:tc>
          <w:tcPr>
            <w:tcW w:w="74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Ženy</w:t>
            </w:r>
          </w:p>
        </w:tc>
        <w:tc>
          <w:tcPr>
            <w:tcW w:w="72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Muži</w:t>
            </w:r>
          </w:p>
        </w:tc>
        <w:tc>
          <w:tcPr>
            <w:tcW w:w="72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Ženy</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Muži</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Ženy</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Muži</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Ženy</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Muži</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Ženy</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Muži</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Ženy</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Muži</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Ženy</w:t>
            </w:r>
          </w:p>
        </w:tc>
      </w:tr>
      <w:tr w:rsidR="0016254A" w:rsidRPr="00E244EA" w:rsidTr="00F1337F">
        <w:trPr>
          <w:trHeight w:val="225"/>
          <w:jc w:val="center"/>
        </w:trPr>
        <w:tc>
          <w:tcPr>
            <w:tcW w:w="4820" w:type="dxa"/>
            <w:gridSpan w:val="2"/>
            <w:vMerge/>
            <w:tcBorders>
              <w:top w:val="single" w:sz="4" w:space="0" w:color="auto"/>
              <w:left w:val="single" w:sz="4" w:space="0" w:color="auto"/>
              <w:bottom w:val="single" w:sz="4" w:space="0" w:color="000000"/>
              <w:right w:val="single" w:sz="4" w:space="0" w:color="000000"/>
            </w:tcBorders>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p>
        </w:tc>
        <w:tc>
          <w:tcPr>
            <w:tcW w:w="74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2 735,4</w:t>
            </w:r>
          </w:p>
        </w:tc>
        <w:tc>
          <w:tcPr>
            <w:tcW w:w="74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2 138,1</w:t>
            </w:r>
          </w:p>
        </w:tc>
        <w:tc>
          <w:tcPr>
            <w:tcW w:w="72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2 784,9</w:t>
            </w:r>
          </w:p>
        </w:tc>
        <w:tc>
          <w:tcPr>
            <w:tcW w:w="72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2 177,7</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2 675,7</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2 055,9</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2 705,5</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2 058,5</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2 806,1</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2 115,9</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2 863,2</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2 139,3</w:t>
            </w:r>
          </w:p>
        </w:tc>
        <w:tc>
          <w:tcPr>
            <w:tcW w:w="700" w:type="dxa"/>
            <w:tcBorders>
              <w:top w:val="nil"/>
              <w:left w:val="nil"/>
              <w:bottom w:val="single" w:sz="4" w:space="0" w:color="auto"/>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2 823,7</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2 110,5</w:t>
            </w:r>
          </w:p>
        </w:tc>
      </w:tr>
      <w:tr w:rsidR="0016254A" w:rsidRPr="00E244EA" w:rsidTr="00F1337F">
        <w:trPr>
          <w:trHeight w:val="225"/>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A</w:t>
            </w:r>
          </w:p>
        </w:tc>
        <w:tc>
          <w:tcPr>
            <w:tcW w:w="4340" w:type="dxa"/>
            <w:tcBorders>
              <w:top w:val="nil"/>
              <w:left w:val="nil"/>
              <w:bottom w:val="nil"/>
              <w:right w:val="nil"/>
            </w:tcBorders>
            <w:shd w:val="clear" w:color="auto" w:fill="auto"/>
            <w:vAlign w:val="bottom"/>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Zemědělství, lesnictví  a rybářství</w:t>
            </w:r>
          </w:p>
        </w:tc>
        <w:tc>
          <w:tcPr>
            <w:tcW w:w="740" w:type="dxa"/>
            <w:tcBorders>
              <w:top w:val="single" w:sz="4" w:space="0" w:color="auto"/>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230,7</w:t>
            </w:r>
          </w:p>
        </w:tc>
        <w:tc>
          <w:tcPr>
            <w:tcW w:w="740" w:type="dxa"/>
            <w:tcBorders>
              <w:top w:val="single" w:sz="4" w:space="0" w:color="auto"/>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127,8</w:t>
            </w:r>
          </w:p>
        </w:tc>
        <w:tc>
          <w:tcPr>
            <w:tcW w:w="720" w:type="dxa"/>
            <w:tcBorders>
              <w:top w:val="single" w:sz="4" w:space="0" w:color="auto"/>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198,6</w:t>
            </w:r>
          </w:p>
        </w:tc>
        <w:tc>
          <w:tcPr>
            <w:tcW w:w="720" w:type="dxa"/>
            <w:tcBorders>
              <w:top w:val="single" w:sz="4" w:space="0" w:color="auto"/>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113,6</w:t>
            </w:r>
          </w:p>
        </w:tc>
        <w:tc>
          <w:tcPr>
            <w:tcW w:w="700" w:type="dxa"/>
            <w:tcBorders>
              <w:top w:val="single" w:sz="4" w:space="0" w:color="auto"/>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157,8</w:t>
            </w:r>
          </w:p>
        </w:tc>
        <w:tc>
          <w:tcPr>
            <w:tcW w:w="700" w:type="dxa"/>
            <w:tcBorders>
              <w:top w:val="single" w:sz="4" w:space="0" w:color="auto"/>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73,1</w:t>
            </w:r>
          </w:p>
        </w:tc>
        <w:tc>
          <w:tcPr>
            <w:tcW w:w="730" w:type="dxa"/>
            <w:tcBorders>
              <w:top w:val="single" w:sz="4" w:space="0" w:color="auto"/>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126,2</w:t>
            </w:r>
          </w:p>
        </w:tc>
        <w:tc>
          <w:tcPr>
            <w:tcW w:w="730" w:type="dxa"/>
            <w:tcBorders>
              <w:top w:val="single" w:sz="4" w:space="0" w:color="auto"/>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55,4</w:t>
            </w:r>
          </w:p>
        </w:tc>
        <w:tc>
          <w:tcPr>
            <w:tcW w:w="700" w:type="dxa"/>
            <w:tcBorders>
              <w:top w:val="single" w:sz="4" w:space="0" w:color="auto"/>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117,8</w:t>
            </w:r>
          </w:p>
        </w:tc>
        <w:tc>
          <w:tcPr>
            <w:tcW w:w="700" w:type="dxa"/>
            <w:tcBorders>
              <w:top w:val="single" w:sz="4" w:space="0" w:color="auto"/>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51,2</w:t>
            </w:r>
          </w:p>
        </w:tc>
        <w:tc>
          <w:tcPr>
            <w:tcW w:w="700" w:type="dxa"/>
            <w:tcBorders>
              <w:top w:val="single" w:sz="4" w:space="0" w:color="auto"/>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109,5</w:t>
            </w:r>
          </w:p>
        </w:tc>
        <w:tc>
          <w:tcPr>
            <w:tcW w:w="700" w:type="dxa"/>
            <w:tcBorders>
              <w:top w:val="single" w:sz="4" w:space="0" w:color="auto"/>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49,3</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107,0</w:t>
            </w:r>
          </w:p>
        </w:tc>
        <w:tc>
          <w:tcPr>
            <w:tcW w:w="700" w:type="dxa"/>
            <w:tcBorders>
              <w:top w:val="single" w:sz="4" w:space="0" w:color="auto"/>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46,8</w:t>
            </w:r>
          </w:p>
        </w:tc>
      </w:tr>
      <w:tr w:rsidR="0016254A" w:rsidRPr="00E244EA" w:rsidTr="00F1337F">
        <w:trPr>
          <w:trHeight w:val="225"/>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B</w:t>
            </w:r>
          </w:p>
        </w:tc>
        <w:tc>
          <w:tcPr>
            <w:tcW w:w="4340" w:type="dxa"/>
            <w:tcBorders>
              <w:top w:val="nil"/>
              <w:left w:val="nil"/>
              <w:bottom w:val="nil"/>
              <w:right w:val="nil"/>
            </w:tcBorders>
            <w:shd w:val="clear" w:color="auto" w:fill="auto"/>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Těžba a dobývání</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104,0</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20,7</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83,0</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13,5</w:t>
            </w:r>
          </w:p>
        </w:tc>
        <w:tc>
          <w:tcPr>
            <w:tcW w:w="700" w:type="dxa"/>
            <w:tcBorders>
              <w:top w:val="nil"/>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59,6</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10,3</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43,3</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5,6</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47,9</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5,9</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48,0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7,1</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44,7</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7,5</w:t>
            </w:r>
          </w:p>
        </w:tc>
      </w:tr>
      <w:tr w:rsidR="0016254A" w:rsidRPr="00E244EA" w:rsidTr="00F1337F">
        <w:trPr>
          <w:trHeight w:val="225"/>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C</w:t>
            </w:r>
          </w:p>
        </w:tc>
        <w:tc>
          <w:tcPr>
            <w:tcW w:w="4340" w:type="dxa"/>
            <w:tcBorders>
              <w:top w:val="nil"/>
              <w:left w:val="nil"/>
              <w:bottom w:val="nil"/>
              <w:right w:val="nil"/>
            </w:tcBorders>
            <w:shd w:val="clear" w:color="auto" w:fill="auto"/>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Zpracovatelský průmysl</w:t>
            </w:r>
          </w:p>
        </w:tc>
        <w:tc>
          <w:tcPr>
            <w:tcW w:w="740" w:type="dxa"/>
            <w:tcBorders>
              <w:top w:val="nil"/>
              <w:left w:val="single" w:sz="4" w:space="0" w:color="auto"/>
              <w:bottom w:val="nil"/>
              <w:right w:val="nil"/>
            </w:tcBorders>
            <w:shd w:val="clear" w:color="000000" w:fill="B8CCE4"/>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815,9</w:t>
            </w:r>
          </w:p>
        </w:tc>
        <w:tc>
          <w:tcPr>
            <w:tcW w:w="740" w:type="dxa"/>
            <w:tcBorders>
              <w:top w:val="nil"/>
              <w:left w:val="single" w:sz="4" w:space="0" w:color="auto"/>
              <w:bottom w:val="nil"/>
              <w:right w:val="nil"/>
            </w:tcBorders>
            <w:shd w:val="clear" w:color="000000" w:fill="FCD5B4"/>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589,2</w:t>
            </w:r>
          </w:p>
        </w:tc>
        <w:tc>
          <w:tcPr>
            <w:tcW w:w="720" w:type="dxa"/>
            <w:tcBorders>
              <w:top w:val="nil"/>
              <w:left w:val="single" w:sz="4" w:space="0" w:color="auto"/>
              <w:bottom w:val="nil"/>
              <w:right w:val="nil"/>
            </w:tcBorders>
            <w:shd w:val="clear" w:color="000000" w:fill="B8CCE4"/>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807,0</w:t>
            </w:r>
          </w:p>
        </w:tc>
        <w:tc>
          <w:tcPr>
            <w:tcW w:w="720" w:type="dxa"/>
            <w:tcBorders>
              <w:top w:val="nil"/>
              <w:left w:val="single" w:sz="4" w:space="0" w:color="auto"/>
              <w:bottom w:val="nil"/>
              <w:right w:val="nil"/>
            </w:tcBorders>
            <w:shd w:val="clear" w:color="000000" w:fill="FCD5B4"/>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570,5</w:t>
            </w:r>
          </w:p>
        </w:tc>
        <w:tc>
          <w:tcPr>
            <w:tcW w:w="700" w:type="dxa"/>
            <w:tcBorders>
              <w:top w:val="nil"/>
              <w:left w:val="single" w:sz="4" w:space="0" w:color="auto"/>
              <w:bottom w:val="nil"/>
              <w:right w:val="single" w:sz="4" w:space="0" w:color="auto"/>
            </w:tcBorders>
            <w:shd w:val="clear" w:color="000000" w:fill="B8CCE4"/>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750,9</w:t>
            </w:r>
          </w:p>
        </w:tc>
        <w:tc>
          <w:tcPr>
            <w:tcW w:w="700" w:type="dxa"/>
            <w:tcBorders>
              <w:top w:val="nil"/>
              <w:left w:val="nil"/>
              <w:bottom w:val="nil"/>
              <w:right w:val="single" w:sz="4" w:space="0" w:color="auto"/>
            </w:tcBorders>
            <w:shd w:val="clear" w:color="000000" w:fill="FCD5B4"/>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487,8</w:t>
            </w:r>
          </w:p>
        </w:tc>
        <w:tc>
          <w:tcPr>
            <w:tcW w:w="730" w:type="dxa"/>
            <w:tcBorders>
              <w:top w:val="nil"/>
              <w:left w:val="nil"/>
              <w:bottom w:val="nil"/>
              <w:right w:val="single" w:sz="4" w:space="0" w:color="auto"/>
            </w:tcBorders>
            <w:shd w:val="clear" w:color="000000" w:fill="B8CCE4"/>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780,6</w:t>
            </w:r>
          </w:p>
        </w:tc>
        <w:tc>
          <w:tcPr>
            <w:tcW w:w="730" w:type="dxa"/>
            <w:tcBorders>
              <w:top w:val="nil"/>
              <w:left w:val="nil"/>
              <w:bottom w:val="nil"/>
              <w:right w:val="single" w:sz="4" w:space="0" w:color="auto"/>
            </w:tcBorders>
            <w:shd w:val="clear" w:color="000000" w:fill="FCD5B4"/>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468,5</w:t>
            </w:r>
          </w:p>
        </w:tc>
        <w:tc>
          <w:tcPr>
            <w:tcW w:w="700" w:type="dxa"/>
            <w:tcBorders>
              <w:top w:val="nil"/>
              <w:left w:val="nil"/>
              <w:bottom w:val="nil"/>
              <w:right w:val="single" w:sz="4" w:space="0" w:color="auto"/>
            </w:tcBorders>
            <w:shd w:val="clear" w:color="000000" w:fill="B8CCE4"/>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855,4</w:t>
            </w:r>
          </w:p>
        </w:tc>
        <w:tc>
          <w:tcPr>
            <w:tcW w:w="700" w:type="dxa"/>
            <w:tcBorders>
              <w:top w:val="nil"/>
              <w:left w:val="nil"/>
              <w:bottom w:val="nil"/>
              <w:right w:val="single" w:sz="4" w:space="0" w:color="auto"/>
            </w:tcBorders>
            <w:shd w:val="clear" w:color="000000" w:fill="FCD5B4"/>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492,9</w:t>
            </w:r>
          </w:p>
        </w:tc>
        <w:tc>
          <w:tcPr>
            <w:tcW w:w="700" w:type="dxa"/>
            <w:tcBorders>
              <w:top w:val="nil"/>
              <w:left w:val="nil"/>
              <w:bottom w:val="nil"/>
              <w:right w:val="single" w:sz="4" w:space="0" w:color="auto"/>
            </w:tcBorders>
            <w:shd w:val="clear" w:color="000000" w:fill="B8CCE4"/>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879,6</w:t>
            </w:r>
          </w:p>
        </w:tc>
        <w:tc>
          <w:tcPr>
            <w:tcW w:w="700" w:type="dxa"/>
            <w:tcBorders>
              <w:top w:val="nil"/>
              <w:left w:val="nil"/>
              <w:bottom w:val="nil"/>
              <w:right w:val="single" w:sz="4" w:space="0" w:color="auto"/>
            </w:tcBorders>
            <w:shd w:val="clear" w:color="000000" w:fill="FCD5B4"/>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498,9</w:t>
            </w:r>
          </w:p>
        </w:tc>
        <w:tc>
          <w:tcPr>
            <w:tcW w:w="700" w:type="dxa"/>
            <w:tcBorders>
              <w:top w:val="nil"/>
              <w:left w:val="nil"/>
              <w:bottom w:val="nil"/>
              <w:right w:val="single" w:sz="4" w:space="0" w:color="auto"/>
            </w:tcBorders>
            <w:shd w:val="clear" w:color="000000" w:fill="B8CCE4"/>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804,9</w:t>
            </w:r>
          </w:p>
        </w:tc>
        <w:tc>
          <w:tcPr>
            <w:tcW w:w="700" w:type="dxa"/>
            <w:tcBorders>
              <w:top w:val="nil"/>
              <w:left w:val="nil"/>
              <w:bottom w:val="nil"/>
              <w:right w:val="single" w:sz="4" w:space="0" w:color="auto"/>
            </w:tcBorders>
            <w:shd w:val="clear" w:color="000000" w:fill="FCD5B4"/>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437,8</w:t>
            </w:r>
          </w:p>
        </w:tc>
      </w:tr>
      <w:tr w:rsidR="0016254A" w:rsidRPr="00E244EA" w:rsidTr="00F1337F">
        <w:trPr>
          <w:trHeight w:val="400"/>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D</w:t>
            </w:r>
          </w:p>
        </w:tc>
        <w:tc>
          <w:tcPr>
            <w:tcW w:w="4340" w:type="dxa"/>
            <w:tcBorders>
              <w:top w:val="nil"/>
              <w:left w:val="nil"/>
              <w:bottom w:val="nil"/>
              <w:right w:val="nil"/>
            </w:tcBorders>
            <w:shd w:val="clear" w:color="auto" w:fill="auto"/>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Výroba a rozvod elektřiny  plynu, tepla a  klimatizovaného</w:t>
            </w:r>
            <w:r w:rsidRPr="00E244EA">
              <w:rPr>
                <w:rFonts w:asciiTheme="minorHAnsi" w:hAnsiTheme="minorHAnsi" w:cstheme="minorHAnsi"/>
                <w:b w:val="0"/>
                <w:sz w:val="20"/>
                <w:szCs w:val="20"/>
              </w:rPr>
              <w:br/>
              <w:t xml:space="preserve">  vzduchu</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58,4</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21,0</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63,1</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20,2</w:t>
            </w:r>
          </w:p>
        </w:tc>
        <w:tc>
          <w:tcPr>
            <w:tcW w:w="700" w:type="dxa"/>
            <w:tcBorders>
              <w:top w:val="nil"/>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47,2</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14,2</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49,3</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12,7</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44,8</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11,4</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47,3</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12,8</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46,8</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11,0</w:t>
            </w:r>
          </w:p>
        </w:tc>
      </w:tr>
      <w:tr w:rsidR="0016254A" w:rsidRPr="00E244EA" w:rsidTr="00F1337F">
        <w:trPr>
          <w:trHeight w:val="255"/>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E</w:t>
            </w:r>
          </w:p>
        </w:tc>
        <w:tc>
          <w:tcPr>
            <w:tcW w:w="4340" w:type="dxa"/>
            <w:tcBorders>
              <w:top w:val="nil"/>
              <w:left w:val="nil"/>
              <w:bottom w:val="nil"/>
              <w:right w:val="nil"/>
            </w:tcBorders>
            <w:shd w:val="clear" w:color="auto" w:fill="auto"/>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Zásobování vodou, činnosti souv. s odpadními vodami, odpady a sanacemi</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25,3</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12,2</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31,4</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11,6</w:t>
            </w:r>
          </w:p>
        </w:tc>
        <w:tc>
          <w:tcPr>
            <w:tcW w:w="700" w:type="dxa"/>
            <w:tcBorders>
              <w:top w:val="nil"/>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33,2</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8,2</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36,6</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10,1</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41,9</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9,6</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42,0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10,6</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43,4</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10,3</w:t>
            </w:r>
          </w:p>
        </w:tc>
      </w:tr>
      <w:tr w:rsidR="0016254A" w:rsidRPr="00E244EA" w:rsidTr="00F1337F">
        <w:trPr>
          <w:trHeight w:val="225"/>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F</w:t>
            </w:r>
          </w:p>
        </w:tc>
        <w:tc>
          <w:tcPr>
            <w:tcW w:w="4340" w:type="dxa"/>
            <w:tcBorders>
              <w:top w:val="nil"/>
              <w:left w:val="nil"/>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Stavebnictví</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392,5</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48,7</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425,2</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49,3</w:t>
            </w:r>
          </w:p>
        </w:tc>
        <w:tc>
          <w:tcPr>
            <w:tcW w:w="700" w:type="dxa"/>
            <w:tcBorders>
              <w:top w:val="nil"/>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416,0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40,5</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433,1</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42,7</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425,6</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40,2</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438,7</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42,0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456,0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40,7</w:t>
            </w:r>
          </w:p>
        </w:tc>
      </w:tr>
      <w:tr w:rsidR="0016254A" w:rsidRPr="00E244EA" w:rsidTr="00F1337F">
        <w:trPr>
          <w:trHeight w:val="303"/>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G</w:t>
            </w:r>
          </w:p>
        </w:tc>
        <w:tc>
          <w:tcPr>
            <w:tcW w:w="4340" w:type="dxa"/>
            <w:tcBorders>
              <w:top w:val="nil"/>
              <w:left w:val="nil"/>
              <w:bottom w:val="nil"/>
              <w:right w:val="nil"/>
            </w:tcBorders>
            <w:shd w:val="clear" w:color="auto" w:fill="auto"/>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Velkoobchod a maloobchod; opravy a údržba motorových vozidel</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211,8</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285,7</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268,0</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336,3</w:t>
            </w:r>
          </w:p>
        </w:tc>
        <w:tc>
          <w:tcPr>
            <w:tcW w:w="700" w:type="dxa"/>
            <w:tcBorders>
              <w:top w:val="nil"/>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280,1</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318,8</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287,2</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313,6</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284,3</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314,6</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288,7</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330,5</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297,0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333,9</w:t>
            </w:r>
          </w:p>
        </w:tc>
      </w:tr>
      <w:tr w:rsidR="0016254A" w:rsidRPr="00E244EA" w:rsidTr="00F1337F">
        <w:trPr>
          <w:trHeight w:val="225"/>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H</w:t>
            </w:r>
          </w:p>
        </w:tc>
        <w:tc>
          <w:tcPr>
            <w:tcW w:w="4340" w:type="dxa"/>
            <w:tcBorders>
              <w:top w:val="nil"/>
              <w:left w:val="nil"/>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 xml:space="preserve">Doprava a skladování </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232,1</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106,8</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238,7</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97,6</w:t>
            </w:r>
          </w:p>
        </w:tc>
        <w:tc>
          <w:tcPr>
            <w:tcW w:w="700" w:type="dxa"/>
            <w:tcBorders>
              <w:top w:val="nil"/>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237,5</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90,7</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230,6</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83,2</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245,4</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77,8</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244,2</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83,3</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245,4</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85,3</w:t>
            </w:r>
          </w:p>
        </w:tc>
      </w:tr>
      <w:tr w:rsidR="0016254A" w:rsidRPr="00E244EA" w:rsidTr="00F1337F">
        <w:trPr>
          <w:trHeight w:val="225"/>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I</w:t>
            </w:r>
          </w:p>
        </w:tc>
        <w:tc>
          <w:tcPr>
            <w:tcW w:w="4340" w:type="dxa"/>
            <w:tcBorders>
              <w:top w:val="nil"/>
              <w:left w:val="nil"/>
              <w:bottom w:val="nil"/>
              <w:right w:val="nil"/>
            </w:tcBorders>
            <w:shd w:val="clear" w:color="auto" w:fill="auto"/>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Ubytování, stravování a pohostinství</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62,4</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86,5</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66,7</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87,3</w:t>
            </w:r>
          </w:p>
        </w:tc>
        <w:tc>
          <w:tcPr>
            <w:tcW w:w="700" w:type="dxa"/>
            <w:tcBorders>
              <w:top w:val="nil"/>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66,4</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90,0</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84,3</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97,5</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79,3</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102,2</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80,7</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96,2</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81,8</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104,2</w:t>
            </w:r>
          </w:p>
        </w:tc>
      </w:tr>
      <w:tr w:rsidR="0016254A" w:rsidRPr="00E244EA" w:rsidTr="00F1337F">
        <w:trPr>
          <w:trHeight w:val="225"/>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J</w:t>
            </w:r>
          </w:p>
        </w:tc>
        <w:tc>
          <w:tcPr>
            <w:tcW w:w="4340" w:type="dxa"/>
            <w:tcBorders>
              <w:top w:val="nil"/>
              <w:left w:val="nil"/>
              <w:bottom w:val="nil"/>
              <w:right w:val="nil"/>
            </w:tcBorders>
            <w:shd w:val="clear" w:color="auto" w:fill="auto"/>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Informační a komunikační činnosti</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42,7</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50,9</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46,0</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49,3</w:t>
            </w:r>
          </w:p>
        </w:tc>
        <w:tc>
          <w:tcPr>
            <w:tcW w:w="700" w:type="dxa"/>
            <w:tcBorders>
              <w:top w:val="nil"/>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54,0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44,4</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60,6</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45,9</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72,0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43,1</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82,5</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35,3</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94,6</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34,6</w:t>
            </w:r>
          </w:p>
        </w:tc>
      </w:tr>
      <w:tr w:rsidR="0016254A" w:rsidRPr="00E244EA" w:rsidTr="00F1337F">
        <w:trPr>
          <w:trHeight w:val="225"/>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K</w:t>
            </w:r>
          </w:p>
        </w:tc>
        <w:tc>
          <w:tcPr>
            <w:tcW w:w="4340" w:type="dxa"/>
            <w:tcBorders>
              <w:top w:val="nil"/>
              <w:left w:val="nil"/>
              <w:bottom w:val="nil"/>
              <w:right w:val="nil"/>
            </w:tcBorders>
            <w:shd w:val="clear" w:color="auto" w:fill="auto"/>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Peněžnictví a pojišťovnictví</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22,1</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46,5</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30,7</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61,4</w:t>
            </w:r>
          </w:p>
        </w:tc>
        <w:tc>
          <w:tcPr>
            <w:tcW w:w="700" w:type="dxa"/>
            <w:tcBorders>
              <w:top w:val="nil"/>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34,3</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66,1</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38,3</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59,0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38,4</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64,3</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45,0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70,9</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44,5</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65,9</w:t>
            </w:r>
          </w:p>
        </w:tc>
      </w:tr>
      <w:tr w:rsidR="0016254A" w:rsidRPr="00E244EA" w:rsidTr="00F1337F">
        <w:trPr>
          <w:trHeight w:val="225"/>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L</w:t>
            </w:r>
          </w:p>
        </w:tc>
        <w:tc>
          <w:tcPr>
            <w:tcW w:w="4340" w:type="dxa"/>
            <w:tcBorders>
              <w:top w:val="nil"/>
              <w:left w:val="nil"/>
              <w:bottom w:val="nil"/>
              <w:right w:val="nil"/>
            </w:tcBorders>
            <w:shd w:val="clear" w:color="auto" w:fill="auto"/>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Činnosti v oblasti nemovitostí</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11,4</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13,9</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12,8</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13,4</w:t>
            </w:r>
          </w:p>
        </w:tc>
        <w:tc>
          <w:tcPr>
            <w:tcW w:w="700" w:type="dxa"/>
            <w:tcBorders>
              <w:top w:val="nil"/>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13,5</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13,2</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15,9</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15,0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18,6</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17,0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19,6</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20,6</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19,8</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20,8</w:t>
            </w:r>
          </w:p>
        </w:tc>
      </w:tr>
      <w:tr w:rsidR="0016254A" w:rsidRPr="00E244EA" w:rsidTr="00F1337F">
        <w:trPr>
          <w:trHeight w:val="225"/>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M</w:t>
            </w:r>
          </w:p>
        </w:tc>
        <w:tc>
          <w:tcPr>
            <w:tcW w:w="4340" w:type="dxa"/>
            <w:tcBorders>
              <w:top w:val="nil"/>
              <w:left w:val="nil"/>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Profesní, vědecké a technické činosti</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64,4</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58,3</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73,6</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61,5</w:t>
            </w:r>
          </w:p>
        </w:tc>
        <w:tc>
          <w:tcPr>
            <w:tcW w:w="700" w:type="dxa"/>
            <w:tcBorders>
              <w:top w:val="nil"/>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73,2</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71,0</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79,4</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73,7</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96,4</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92,6</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96,4</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98,7</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100,4</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101,4</w:t>
            </w:r>
          </w:p>
        </w:tc>
      </w:tr>
      <w:tr w:rsidR="0016254A" w:rsidRPr="00E244EA" w:rsidTr="00F1337F">
        <w:trPr>
          <w:trHeight w:val="225"/>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N</w:t>
            </w:r>
          </w:p>
        </w:tc>
        <w:tc>
          <w:tcPr>
            <w:tcW w:w="4340" w:type="dxa"/>
            <w:tcBorders>
              <w:top w:val="nil"/>
              <w:left w:val="nil"/>
              <w:bottom w:val="nil"/>
              <w:right w:val="nil"/>
            </w:tcBorders>
            <w:shd w:val="clear" w:color="auto" w:fill="auto"/>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Administrativní a podpůrné činnosti</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51,8</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33,1</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54,9</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37,4</w:t>
            </w:r>
          </w:p>
        </w:tc>
        <w:tc>
          <w:tcPr>
            <w:tcW w:w="700" w:type="dxa"/>
            <w:tcBorders>
              <w:top w:val="nil"/>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56,3</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41,3</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60,0</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44,3</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67,6</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52,2</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67,0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61,0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63,2</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54,5</w:t>
            </w:r>
          </w:p>
        </w:tc>
      </w:tr>
      <w:tr w:rsidR="0016254A" w:rsidRPr="00E244EA" w:rsidTr="00F1337F">
        <w:trPr>
          <w:trHeight w:val="225"/>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O</w:t>
            </w:r>
          </w:p>
        </w:tc>
        <w:tc>
          <w:tcPr>
            <w:tcW w:w="4340" w:type="dxa"/>
            <w:tcBorders>
              <w:top w:val="nil"/>
              <w:left w:val="nil"/>
              <w:bottom w:val="nil"/>
              <w:right w:val="nil"/>
            </w:tcBorders>
            <w:shd w:val="clear" w:color="auto" w:fill="auto"/>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Veřejná správa a obrana; povinné sociální zabezpečení</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199,2</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99,9</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180,7</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112,7</w:t>
            </w:r>
          </w:p>
        </w:tc>
        <w:tc>
          <w:tcPr>
            <w:tcW w:w="700" w:type="dxa"/>
            <w:tcBorders>
              <w:top w:val="nil"/>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200,1</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132,7</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173,2</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150,1</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160,1</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156,6</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166,9</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150,1</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167,7</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153,5</w:t>
            </w:r>
          </w:p>
        </w:tc>
      </w:tr>
      <w:tr w:rsidR="0016254A" w:rsidRPr="00E244EA" w:rsidTr="00F1337F">
        <w:trPr>
          <w:trHeight w:val="225"/>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P</w:t>
            </w:r>
          </w:p>
        </w:tc>
        <w:tc>
          <w:tcPr>
            <w:tcW w:w="4340" w:type="dxa"/>
            <w:tcBorders>
              <w:top w:val="nil"/>
              <w:left w:val="nil"/>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Vzdělávání</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85,5</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231,0</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80,2</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230,7</w:t>
            </w:r>
          </w:p>
        </w:tc>
        <w:tc>
          <w:tcPr>
            <w:tcW w:w="700" w:type="dxa"/>
            <w:tcBorders>
              <w:top w:val="nil"/>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71,2</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229,7</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71,7</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226,8</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73,2</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219,0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70,3</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213,6</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67,4</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228,2</w:t>
            </w:r>
          </w:p>
        </w:tc>
      </w:tr>
      <w:tr w:rsidR="0016254A" w:rsidRPr="00E244EA" w:rsidTr="00F1337F">
        <w:trPr>
          <w:trHeight w:val="225"/>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Q</w:t>
            </w:r>
          </w:p>
        </w:tc>
        <w:tc>
          <w:tcPr>
            <w:tcW w:w="4340" w:type="dxa"/>
            <w:tcBorders>
              <w:top w:val="nil"/>
              <w:left w:val="nil"/>
              <w:bottom w:val="nil"/>
              <w:right w:val="nil"/>
            </w:tcBorders>
            <w:shd w:val="clear" w:color="auto" w:fill="auto"/>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Zdravotní a sociální péče</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58,2</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218,3</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56,7</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220,7</w:t>
            </w:r>
          </w:p>
        </w:tc>
        <w:tc>
          <w:tcPr>
            <w:tcW w:w="700" w:type="dxa"/>
            <w:tcBorders>
              <w:top w:val="nil"/>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57,4</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227,7</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66,7</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255,0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65,9</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265,6</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59,3</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262,0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60,5</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265,8</w:t>
            </w:r>
          </w:p>
        </w:tc>
      </w:tr>
      <w:tr w:rsidR="0016254A" w:rsidRPr="00E244EA" w:rsidTr="00F1337F">
        <w:trPr>
          <w:trHeight w:val="225"/>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R</w:t>
            </w:r>
          </w:p>
        </w:tc>
        <w:tc>
          <w:tcPr>
            <w:tcW w:w="4340" w:type="dxa"/>
            <w:tcBorders>
              <w:top w:val="nil"/>
              <w:left w:val="nil"/>
              <w:bottom w:val="nil"/>
              <w:right w:val="nil"/>
            </w:tcBorders>
            <w:shd w:val="clear" w:color="auto" w:fill="auto"/>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Kulturní, zábavní a rekreační činnosti</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32,6</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30,6</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35,3</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30,4</w:t>
            </w:r>
          </w:p>
        </w:tc>
        <w:tc>
          <w:tcPr>
            <w:tcW w:w="700" w:type="dxa"/>
            <w:tcBorders>
              <w:top w:val="nil"/>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36,5</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34,3</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38,7</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35,3</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43,0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38,4</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40,1</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42,3</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42,0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41,3</w:t>
            </w:r>
          </w:p>
        </w:tc>
      </w:tr>
      <w:tr w:rsidR="0016254A" w:rsidRPr="00E244EA" w:rsidTr="00F1337F">
        <w:trPr>
          <w:trHeight w:val="225"/>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S</w:t>
            </w:r>
          </w:p>
        </w:tc>
        <w:tc>
          <w:tcPr>
            <w:tcW w:w="4340" w:type="dxa"/>
            <w:tcBorders>
              <w:top w:val="nil"/>
              <w:left w:val="nil"/>
              <w:bottom w:val="nil"/>
              <w:right w:val="nil"/>
            </w:tcBorders>
            <w:shd w:val="clear" w:color="auto" w:fill="auto"/>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Ostatní</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33,5</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55,7</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31,4</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58,9</w:t>
            </w:r>
          </w:p>
        </w:tc>
        <w:tc>
          <w:tcPr>
            <w:tcW w:w="700" w:type="dxa"/>
            <w:tcBorders>
              <w:top w:val="nil"/>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29,4</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59,2</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29,0</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60,6</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27,4</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58,4</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36,5</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51,9</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34,3</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57,6</w:t>
            </w:r>
          </w:p>
        </w:tc>
      </w:tr>
      <w:tr w:rsidR="0016254A" w:rsidRPr="00E244EA" w:rsidTr="00F1337F">
        <w:trPr>
          <w:trHeight w:val="392"/>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T</w:t>
            </w:r>
          </w:p>
        </w:tc>
        <w:tc>
          <w:tcPr>
            <w:tcW w:w="4340" w:type="dxa"/>
            <w:tcBorders>
              <w:top w:val="nil"/>
              <w:left w:val="nil"/>
              <w:bottom w:val="nil"/>
              <w:right w:val="nil"/>
            </w:tcBorders>
            <w:shd w:val="clear" w:color="auto" w:fill="auto"/>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 xml:space="preserve">Činnosti domácností jako zaměstnavatelů; činnosti domácn. produk. blíže neurč. výrobky a služby pro </w:t>
            </w:r>
            <w:r w:rsidRPr="00E244EA">
              <w:rPr>
                <w:rFonts w:asciiTheme="minorHAnsi" w:hAnsiTheme="minorHAnsi" w:cstheme="minorHAnsi"/>
                <w:b w:val="0"/>
                <w:sz w:val="20"/>
                <w:szCs w:val="20"/>
              </w:rPr>
              <w:lastRenderedPageBreak/>
              <w:t>vl. potř.</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lastRenderedPageBreak/>
              <w:t>.</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0,8</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0,9</w:t>
            </w:r>
          </w:p>
        </w:tc>
        <w:tc>
          <w:tcPr>
            <w:tcW w:w="700" w:type="dxa"/>
            <w:tcBorders>
              <w:top w:val="nil"/>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1,6</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0,8</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2,8</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2,4</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0,7</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1,8</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2,0</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8,8</w:t>
            </w:r>
          </w:p>
        </w:tc>
      </w:tr>
      <w:tr w:rsidR="0016254A" w:rsidRPr="00E244EA" w:rsidTr="00F1337F">
        <w:trPr>
          <w:trHeight w:val="225"/>
          <w:jc w:val="center"/>
        </w:trPr>
        <w:tc>
          <w:tcPr>
            <w:tcW w:w="480" w:type="dxa"/>
            <w:tcBorders>
              <w:top w:val="nil"/>
              <w:left w:val="single" w:sz="4" w:space="0" w:color="auto"/>
              <w:bottom w:val="nil"/>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lastRenderedPageBreak/>
              <w:t>U</w:t>
            </w:r>
          </w:p>
        </w:tc>
        <w:tc>
          <w:tcPr>
            <w:tcW w:w="4340" w:type="dxa"/>
            <w:tcBorders>
              <w:top w:val="nil"/>
              <w:left w:val="nil"/>
              <w:bottom w:val="nil"/>
              <w:right w:val="nil"/>
            </w:tcBorders>
            <w:shd w:val="clear" w:color="auto" w:fill="auto"/>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Exteritoriální organizace a instituce</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0,6</w:t>
            </w:r>
          </w:p>
        </w:tc>
        <w:tc>
          <w:tcPr>
            <w:tcW w:w="74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0,5</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20" w:type="dxa"/>
            <w:tcBorders>
              <w:top w:val="nil"/>
              <w:left w:val="single" w:sz="4" w:space="0" w:color="auto"/>
              <w:bottom w:val="nil"/>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00" w:type="dxa"/>
            <w:tcBorders>
              <w:top w:val="nil"/>
              <w:left w:val="single" w:sz="4" w:space="0" w:color="auto"/>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0,9</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1,1</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3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0,5</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0,8</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00" w:type="dxa"/>
            <w:tcBorders>
              <w:top w:val="nil"/>
              <w:left w:val="nil"/>
              <w:bottom w:val="nil"/>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r>
      <w:tr w:rsidR="0016254A" w:rsidRPr="00E244EA" w:rsidTr="00F1337F">
        <w:trPr>
          <w:trHeight w:val="225"/>
          <w:jc w:val="center"/>
        </w:trPr>
        <w:tc>
          <w:tcPr>
            <w:tcW w:w="480" w:type="dxa"/>
            <w:tcBorders>
              <w:top w:val="nil"/>
              <w:left w:val="single" w:sz="4" w:space="0" w:color="auto"/>
              <w:bottom w:val="single" w:sz="4" w:space="0" w:color="auto"/>
              <w:right w:val="nil"/>
            </w:tcBorders>
            <w:shd w:val="clear" w:color="auto" w:fill="auto"/>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p>
        </w:tc>
        <w:tc>
          <w:tcPr>
            <w:tcW w:w="4340" w:type="dxa"/>
            <w:tcBorders>
              <w:top w:val="nil"/>
              <w:left w:val="nil"/>
              <w:bottom w:val="single" w:sz="4" w:space="0" w:color="auto"/>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Nezjištěno</w:t>
            </w:r>
          </w:p>
        </w:tc>
        <w:tc>
          <w:tcPr>
            <w:tcW w:w="740" w:type="dxa"/>
            <w:tcBorders>
              <w:top w:val="nil"/>
              <w:left w:val="single" w:sz="4" w:space="0" w:color="auto"/>
              <w:bottom w:val="single" w:sz="4" w:space="0" w:color="auto"/>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40" w:type="dxa"/>
            <w:tcBorders>
              <w:top w:val="nil"/>
              <w:left w:val="single" w:sz="4" w:space="0" w:color="auto"/>
              <w:bottom w:val="single" w:sz="4" w:space="0" w:color="auto"/>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20" w:type="dxa"/>
            <w:tcBorders>
              <w:top w:val="nil"/>
              <w:left w:val="single" w:sz="4" w:space="0" w:color="auto"/>
              <w:bottom w:val="single" w:sz="4" w:space="0" w:color="auto"/>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20" w:type="dxa"/>
            <w:tcBorders>
              <w:top w:val="nil"/>
              <w:left w:val="single" w:sz="4" w:space="0" w:color="auto"/>
              <w:bottom w:val="single" w:sz="4" w:space="0" w:color="auto"/>
              <w:right w:val="nil"/>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00" w:type="dxa"/>
            <w:tcBorders>
              <w:top w:val="nil"/>
              <w:left w:val="single" w:sz="4" w:space="0" w:color="auto"/>
              <w:bottom w:val="single" w:sz="4" w:space="0" w:color="auto"/>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00" w:type="dxa"/>
            <w:tcBorders>
              <w:top w:val="nil"/>
              <w:left w:val="nil"/>
              <w:bottom w:val="single" w:sz="4" w:space="0" w:color="auto"/>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30" w:type="dxa"/>
            <w:tcBorders>
              <w:top w:val="nil"/>
              <w:left w:val="nil"/>
              <w:bottom w:val="single" w:sz="4" w:space="0" w:color="auto"/>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30" w:type="dxa"/>
            <w:tcBorders>
              <w:top w:val="nil"/>
              <w:left w:val="nil"/>
              <w:bottom w:val="single" w:sz="4" w:space="0" w:color="auto"/>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00" w:type="dxa"/>
            <w:tcBorders>
              <w:top w:val="nil"/>
              <w:left w:val="nil"/>
              <w:bottom w:val="single" w:sz="4" w:space="0" w:color="auto"/>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00" w:type="dxa"/>
            <w:tcBorders>
              <w:top w:val="nil"/>
              <w:left w:val="nil"/>
              <w:bottom w:val="single" w:sz="4" w:space="0" w:color="auto"/>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00" w:type="dxa"/>
            <w:tcBorders>
              <w:top w:val="nil"/>
              <w:left w:val="nil"/>
              <w:bottom w:val="single" w:sz="4" w:space="0" w:color="auto"/>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00" w:type="dxa"/>
            <w:tcBorders>
              <w:top w:val="nil"/>
              <w:left w:val="nil"/>
              <w:bottom w:val="single" w:sz="4" w:space="0" w:color="auto"/>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00" w:type="dxa"/>
            <w:tcBorders>
              <w:top w:val="nil"/>
              <w:left w:val="nil"/>
              <w:bottom w:val="single" w:sz="4" w:space="0" w:color="auto"/>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c>
          <w:tcPr>
            <w:tcW w:w="700" w:type="dxa"/>
            <w:tcBorders>
              <w:top w:val="nil"/>
              <w:left w:val="nil"/>
              <w:bottom w:val="single" w:sz="4" w:space="0" w:color="auto"/>
              <w:right w:val="single" w:sz="4" w:space="0" w:color="auto"/>
            </w:tcBorders>
            <w:shd w:val="clear" w:color="auto" w:fill="auto"/>
            <w:noWrap/>
            <w:vAlign w:val="center"/>
          </w:tcPr>
          <w:p w:rsidR="0016254A" w:rsidRPr="00E244EA" w:rsidRDefault="0016254A" w:rsidP="00E244EA">
            <w:pPr>
              <w:pStyle w:val="Nadpis4"/>
              <w:keepNext w:val="0"/>
              <w:widowControl w:val="0"/>
              <w:numPr>
                <w:ilvl w:val="0"/>
                <w:numId w:val="0"/>
              </w:numPr>
              <w:spacing w:before="0" w:after="0"/>
              <w:jc w:val="center"/>
              <w:rPr>
                <w:rFonts w:asciiTheme="minorHAnsi" w:hAnsiTheme="minorHAnsi" w:cstheme="minorHAnsi"/>
                <w:b w:val="0"/>
                <w:sz w:val="20"/>
                <w:szCs w:val="20"/>
              </w:rPr>
            </w:pPr>
            <w:r w:rsidRPr="00E244EA">
              <w:rPr>
                <w:rFonts w:asciiTheme="minorHAnsi" w:hAnsiTheme="minorHAnsi" w:cstheme="minorHAnsi"/>
                <w:b w:val="0"/>
                <w:sz w:val="20"/>
                <w:szCs w:val="20"/>
              </w:rPr>
              <w:t>.</w:t>
            </w:r>
          </w:p>
        </w:tc>
      </w:tr>
    </w:tbl>
    <w:p w:rsidR="0016254A" w:rsidRPr="00E244EA" w:rsidRDefault="0016254A" w:rsidP="003118B3">
      <w:pPr>
        <w:widowControl w:val="0"/>
        <w:spacing w:line="276" w:lineRule="auto"/>
        <w:ind w:firstLine="709"/>
        <w:jc w:val="both"/>
        <w:rPr>
          <w:rFonts w:ascii="Times New Roman" w:hAnsi="Times New Roman" w:cs="Times New Roman"/>
          <w:i/>
          <w:sz w:val="24"/>
          <w:szCs w:val="24"/>
        </w:rPr>
      </w:pPr>
      <w:r w:rsidRPr="00E244EA">
        <w:rPr>
          <w:rFonts w:ascii="Times New Roman" w:hAnsi="Times New Roman" w:cs="Times New Roman"/>
          <w:i/>
          <w:sz w:val="24"/>
          <w:szCs w:val="24"/>
        </w:rPr>
        <w:t>Zdroj: Zaostřeno na ženy a muže 2010.</w:t>
      </w:r>
    </w:p>
    <w:p w:rsidR="00E244EA" w:rsidRPr="003118B3" w:rsidRDefault="00E244EA" w:rsidP="003118B3">
      <w:pPr>
        <w:widowControl w:val="0"/>
        <w:spacing w:line="276" w:lineRule="auto"/>
        <w:ind w:firstLine="709"/>
        <w:jc w:val="both"/>
        <w:rPr>
          <w:rFonts w:ascii="Times New Roman" w:hAnsi="Times New Roman" w:cs="Times New Roman"/>
          <w:sz w:val="24"/>
          <w:szCs w:val="24"/>
        </w:rPr>
        <w:sectPr w:rsidR="00E244EA" w:rsidRPr="003118B3" w:rsidSect="00F1337F">
          <w:pgSz w:w="16838" w:h="11906" w:orient="landscape"/>
          <w:pgMar w:top="1418" w:right="1418" w:bottom="1418" w:left="1418" w:header="709" w:footer="709" w:gutter="0"/>
          <w:pgNumType w:start="0"/>
          <w:cols w:space="708"/>
          <w:titlePg/>
          <w:docGrid w:linePitch="360"/>
        </w:sect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p w:rsidR="003118B3" w:rsidRPr="00DF128A" w:rsidRDefault="003118B3" w:rsidP="003118B3">
      <w:pPr>
        <w:widowControl w:val="0"/>
        <w:spacing w:line="276" w:lineRule="auto"/>
        <w:jc w:val="both"/>
        <w:rPr>
          <w:rFonts w:ascii="Times New Roman" w:hAnsi="Times New Roman" w:cs="Times New Roman"/>
          <w:sz w:val="24"/>
          <w:szCs w:val="24"/>
        </w:rPr>
      </w:pPr>
      <w:bookmarkStart w:id="111" w:name="_Toc320993542"/>
      <w:r w:rsidRPr="00622CAB">
        <w:rPr>
          <w:rFonts w:ascii="Times New Roman" w:hAnsi="Times New Roman" w:cs="Times New Roman"/>
          <w:b/>
          <w:sz w:val="24"/>
          <w:szCs w:val="24"/>
        </w:rPr>
        <w:t>LITERATURA A ZDROJE</w:t>
      </w:r>
      <w:r w:rsidRPr="00DF128A">
        <w:rPr>
          <w:rFonts w:ascii="Times New Roman" w:hAnsi="Times New Roman" w:cs="Times New Roman"/>
          <w:sz w:val="24"/>
          <w:szCs w:val="24"/>
        </w:rPr>
        <w: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Freeman, C. (2001): „Is Local: Global as Feminine: Masculine? Rethinking the Gender of Globalization.” In: Signs, roč. 26, č. 4, s. 1007-1038.</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Hendlová, T. (2007): „Dynamika domácích prací z globálního hlediska.“ In: Gender, rovné příležitosti, výzkum, roč. 8, č. 1, s. 6-13.</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Kolářová, M. (2007): „Globální muž a lokální žena? Feministický pohled na globalizaci.“ In: Gender, rovné příležitosti, výzkum, roč. 8, č. 1, s. 1-5.</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 xml:space="preserve">Kolářová, M. (2007): „Gender v protestu sociálních hnutí proti globalizaci.“ In: Gender, rovné příležitosti, výzkum, roč. 8, č. 2, s. 7-14 </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Radimska, R. (2003): „Moc a individualni zajmy v partnerskych vztazich.“ In: Gender, rovne přiležitosti, vyzkum, roč. 4, č. 3–4, s. 4–5.</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Wichterich, Ch. (2000): Globalizovaná žena: zprávy o budoucí nerovnosti. Praha: proFem.</w:t>
      </w:r>
      <w:bookmarkEnd w:id="111"/>
      <w:r w:rsidRPr="003264DF">
        <w:rPr>
          <w:rFonts w:ascii="Times New Roman" w:hAnsi="Times New Roman" w:cs="Times New Roman"/>
          <w:iCs/>
          <w:sz w:val="20"/>
          <w:szCs w:val="20"/>
        </w:rPr>
        <w:t xml:space="preserve"> 226 s.</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4 - 5. Zaměstnaní podle OKEČ (VŠPS) [online]. Český statistický úřad [Citované 03/2012]. Dostupné na WWW&lt;http://www.czso.cz/csu/2010edicniplan.nsf/kapitola/1413-10--14&gt;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4 - 16. Mezinárodní srovnání - pracovní smlouvy uzavřené na dobu určitou [online]. Český statistický úřad [Citované 03/2012]. Dostupné na WWW&lt;http://www.czso.cz/csu/2010edicniplan.nsf/kapitola/1413-10--14&gt;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4 - 24. Míra nezaměstnanosti podle věkových skupin a vzdělání (VŠPS) [online]. Český statistický úřad [Citované 03/2012]. Dostupné na WWW&lt;http://www.czso.cz/csu/2010edicniplan.nsf/kapitola/1413-10--14&gt;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4 - 34. Průměrné hrubé měsíční mzdy a mediány mezd [online]. Český statistický úřad [Citované 03/2012]. Dostupné na WWW&lt;http://www.czso.cz/csu/2010edicniplan.nsf/kapitola/1413-10--14&gt;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Aktuální výsledky šetření [online]. Informační systém o průměrném vídělku. [Citované 03/2012]. Dostupné na WWW&lt; http://www.ispv.cz/cz/Vysledky-setreni/Aktualni.aspx&gt;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Diferenciace mezd zaměstnanců [online]. Český statistický úřad [Citované 03/2012]. Dostupné na WWW&lt;http://www.czso.cz/csu/tz.nsf/i/diferenciace_mezd_zamestnancu&gt;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Feminizmus [online]. Katedra aplikovanej informatiky [Citované 03/2012]. Dostupné na WWW&lt;http://ii.fmph.uniba.sk/~filit/fvf/feminizmus.html&gt;</w:t>
      </w:r>
    </w:p>
    <w:p w:rsidR="0016254A" w:rsidRPr="003264DF" w:rsidRDefault="0016254A" w:rsidP="003264DF">
      <w:pPr>
        <w:widowControl w:val="0"/>
        <w:spacing w:after="120" w:line="276" w:lineRule="auto"/>
        <w:jc w:val="both"/>
        <w:rPr>
          <w:rFonts w:ascii="Times New Roman" w:hAnsi="Times New Roman" w:cs="Times New Roman"/>
          <w:iCs/>
          <w:sz w:val="20"/>
          <w:szCs w:val="20"/>
        </w:rPr>
      </w:pPr>
      <w:r w:rsidRPr="003264DF">
        <w:rPr>
          <w:rFonts w:ascii="Times New Roman" w:hAnsi="Times New Roman" w:cs="Times New Roman"/>
          <w:iCs/>
          <w:sz w:val="20"/>
          <w:szCs w:val="20"/>
        </w:rPr>
        <w:t>Ženy a muži v datech 2011 [online]. Český statistický úřad [Citované 03/2012]. Dostupné na WWW&lt; http://www.czso.cz/csu/2011edicniplan.nsf/publ/1417-11-n_2011&gt;</w:t>
      </w:r>
    </w:p>
    <w:p w:rsidR="0016254A" w:rsidRPr="003264DF" w:rsidRDefault="0016254A" w:rsidP="003264DF">
      <w:pPr>
        <w:widowControl w:val="0"/>
        <w:spacing w:after="120" w:line="276" w:lineRule="auto"/>
        <w:jc w:val="both"/>
        <w:rPr>
          <w:rFonts w:ascii="Times New Roman" w:hAnsi="Times New Roman" w:cs="Times New Roman"/>
          <w:iCs/>
          <w:sz w:val="20"/>
          <w:szCs w:val="20"/>
        </w:rPr>
      </w:pPr>
    </w:p>
    <w:p w:rsidR="0016254A" w:rsidRPr="003118B3" w:rsidRDefault="0016254A" w:rsidP="003118B3">
      <w:pPr>
        <w:widowControl w:val="0"/>
        <w:spacing w:line="276" w:lineRule="auto"/>
        <w:ind w:firstLine="709"/>
        <w:jc w:val="both"/>
        <w:rPr>
          <w:rFonts w:ascii="Times New Roman" w:hAnsi="Times New Roman" w:cs="Times New Roman"/>
          <w:sz w:val="24"/>
          <w:szCs w:val="24"/>
        </w:rPr>
      </w:pPr>
    </w:p>
    <w:sectPr w:rsidR="0016254A" w:rsidRPr="003118B3" w:rsidSect="00BD5839">
      <w:footerReference w:type="even" r:id="rId101"/>
      <w:footerReference w:type="default" r:id="rId102"/>
      <w:headerReference w:type="first" r:id="rId103"/>
      <w:footerReference w:type="first" r:id="rId104"/>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67B0" w:rsidRDefault="008E67B0" w:rsidP="00DF128A">
      <w:r>
        <w:separator/>
      </w:r>
    </w:p>
  </w:endnote>
  <w:endnote w:type="continuationSeparator" w:id="0">
    <w:p w:rsidR="008E67B0" w:rsidRDefault="008E67B0" w:rsidP="00DF12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4DC5" w:rsidRDefault="001F4DC5" w:rsidP="00F1337F">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end"/>
    </w:r>
  </w:p>
  <w:p w:rsidR="001F4DC5" w:rsidRDefault="001F4DC5">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4DC5" w:rsidRDefault="001F4DC5" w:rsidP="00F1337F">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sidR="00BC0D37">
      <w:rPr>
        <w:rStyle w:val="slostrnky"/>
        <w:noProof/>
      </w:rPr>
      <w:t>8</w:t>
    </w:r>
    <w:r>
      <w:rPr>
        <w:rStyle w:val="slostrnky"/>
      </w:rPr>
      <w:fldChar w:fldCharType="end"/>
    </w:r>
  </w:p>
  <w:p w:rsidR="001F4DC5" w:rsidRDefault="001F4DC5">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0D37" w:rsidRDefault="00BC0D37">
    <w:pPr>
      <w:pStyle w:val="Zpat"/>
    </w:pPr>
    <w:r w:rsidRPr="00B656D0">
      <w:rPr>
        <w:sz w:val="18"/>
        <w:szCs w:val="18"/>
      </w:rPr>
      <w:t xml:space="preserve">OPVK Inovace výuky geografických studijních oborů, CZ.1.07/2.2.00/15.0222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4DC5" w:rsidRDefault="001F4DC5">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end"/>
    </w:r>
  </w:p>
  <w:p w:rsidR="001F4DC5" w:rsidRDefault="001F4DC5">
    <w:pPr>
      <w:pStyle w:val="Zpa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4DC5" w:rsidRDefault="001F4DC5">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Pr>
        <w:rStyle w:val="slostrnky"/>
        <w:noProof/>
      </w:rPr>
      <w:t>1</w:t>
    </w:r>
    <w:r>
      <w:rPr>
        <w:rStyle w:val="slostrnky"/>
      </w:rPr>
      <w:fldChar w:fldCharType="end"/>
    </w:r>
  </w:p>
  <w:p w:rsidR="001F4DC5" w:rsidRDefault="001F4DC5">
    <w:pPr>
      <w:pStyle w:val="Zpa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4DC5" w:rsidRDefault="001F4DC5">
    <w:pPr>
      <w:pStyle w:val="Zpat"/>
    </w:pPr>
    <w:r>
      <w:rPr>
        <w:noProof/>
      </w:rPr>
      <w:drawing>
        <wp:anchor distT="0" distB="0" distL="114300" distR="114300" simplePos="0" relativeHeight="251658240" behindDoc="0" locked="0" layoutInCell="1" allowOverlap="1" wp14:anchorId="2DD64BF2" wp14:editId="112C587C">
          <wp:simplePos x="0" y="0"/>
          <wp:positionH relativeFrom="column">
            <wp:posOffset>-396240</wp:posOffset>
          </wp:positionH>
          <wp:positionV relativeFrom="paragraph">
            <wp:posOffset>-866775</wp:posOffset>
          </wp:positionV>
          <wp:extent cx="6696075" cy="1491615"/>
          <wp:effectExtent l="0" t="0" r="9525" b="0"/>
          <wp:wrapSquare wrapText="bothSides"/>
          <wp:docPr id="18" name="Obrázek 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96075" cy="149161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67B0" w:rsidRDefault="008E67B0" w:rsidP="00DF128A">
      <w:r>
        <w:separator/>
      </w:r>
    </w:p>
  </w:footnote>
  <w:footnote w:type="continuationSeparator" w:id="0">
    <w:p w:rsidR="008E67B0" w:rsidRDefault="008E67B0" w:rsidP="00DF128A">
      <w:r>
        <w:continuationSeparator/>
      </w:r>
    </w:p>
  </w:footnote>
  <w:footnote w:id="1">
    <w:p w:rsidR="001F4DC5" w:rsidRDefault="001F4DC5" w:rsidP="00DF128A">
      <w:pPr>
        <w:pStyle w:val="Textpoznpodarou"/>
        <w:rPr>
          <w:sz w:val="8"/>
        </w:rPr>
      </w:pPr>
      <w:r>
        <w:rPr>
          <w:rStyle w:val="Znakapoznpodarou"/>
          <w:rFonts w:ascii="Calibri" w:hAnsi="Calibri" w:cs="Calibri"/>
        </w:rPr>
        <w:footnoteRef/>
      </w:r>
      <w:r>
        <w:rPr>
          <w:rFonts w:ascii="Calibri" w:hAnsi="Calibri" w:cs="Calibri"/>
        </w:rPr>
        <w:t xml:space="preserve"> Guvernérem IMF za Českou republiku je guvernér České národní banky Zdeněk Tůma (IMF 2010</w:t>
      </w:r>
      <w:r>
        <w:t>).</w:t>
      </w:r>
    </w:p>
  </w:footnote>
  <w:footnote w:id="2">
    <w:p w:rsidR="001F4DC5" w:rsidRDefault="001F4DC5" w:rsidP="00DF128A">
      <w:pPr>
        <w:pStyle w:val="Textpoznpodarou"/>
        <w:jc w:val="both"/>
        <w:rPr>
          <w:rFonts w:ascii="Calibri" w:hAnsi="Calibri" w:cs="Calibri"/>
        </w:rPr>
      </w:pPr>
      <w:r>
        <w:rPr>
          <w:rStyle w:val="Znakapoznpodarou"/>
          <w:rFonts w:ascii="Calibri" w:hAnsi="Calibri" w:cs="Calibri"/>
        </w:rPr>
        <w:footnoteRef/>
      </w:r>
      <w:r>
        <w:rPr>
          <w:rFonts w:ascii="Calibri" w:hAnsi="Calibri" w:cs="Calibri"/>
        </w:rPr>
        <w:t xml:space="preserve"> Česká republika patří do tzv. belgické skupiny spolu s Belgií, Běloruskem, Kazachstánem, Lucemburskem, Maďarskem, Rakouskem, Slovenskem, Slovinskem a Tureckem (Liška 2003).</w:t>
      </w:r>
    </w:p>
  </w:footnote>
  <w:footnote w:id="3">
    <w:p w:rsidR="001F4DC5" w:rsidRDefault="001F4DC5" w:rsidP="00DF128A">
      <w:pPr>
        <w:pStyle w:val="Textpoznpodarou"/>
        <w:jc w:val="both"/>
        <w:rPr>
          <w:rFonts w:ascii="Calibri" w:hAnsi="Calibri" w:cs="Calibri"/>
        </w:rPr>
      </w:pPr>
      <w:r>
        <w:rPr>
          <w:rStyle w:val="Znakapoznpodarou"/>
          <w:rFonts w:ascii="Calibri" w:hAnsi="Calibri" w:cs="Calibri"/>
        </w:rPr>
        <w:footnoteRef/>
      </w:r>
      <w:r>
        <w:rPr>
          <w:rFonts w:ascii="Calibri" w:hAnsi="Calibri" w:cs="Calibri"/>
        </w:rPr>
        <w:t xml:space="preserve"> K</w:t>
      </w:r>
      <w:r>
        <w:rPr>
          <w:rFonts w:ascii="Calibri" w:hAnsi="Calibri" w:cs="Calibri"/>
          <w:color w:val="000000"/>
          <w:spacing w:val="6"/>
        </w:rPr>
        <w:t>aždá země má stejný základ 250 hlasů a k tomu za každých 100 tisíc SDR další jeden hlas (Prokopcová 2008</w:t>
      </w:r>
      <w:r>
        <w:rPr>
          <w:rFonts w:ascii="Calibri" w:hAnsi="Calibri" w:cs="Calibri"/>
        </w:rPr>
        <w:t>).</w:t>
      </w:r>
    </w:p>
  </w:footnote>
  <w:footnote w:id="4">
    <w:p w:rsidR="001F4DC5" w:rsidRDefault="001F4DC5" w:rsidP="00DF128A">
      <w:pPr>
        <w:pStyle w:val="Textpoznpodarou"/>
        <w:jc w:val="both"/>
        <w:rPr>
          <w:rFonts w:ascii="Calibri" w:hAnsi="Calibri" w:cs="Calibri"/>
        </w:rPr>
      </w:pPr>
      <w:r>
        <w:rPr>
          <w:rStyle w:val="Znakapoznpodarou"/>
          <w:rFonts w:ascii="Calibri" w:hAnsi="Calibri" w:cs="Calibri"/>
        </w:rPr>
        <w:footnoteRef/>
      </w:r>
      <w:r>
        <w:rPr>
          <w:rFonts w:ascii="Calibri" w:hAnsi="Calibri" w:cs="Calibri"/>
        </w:rPr>
        <w:t xml:space="preserve"> Finanční pomoc členským zemím je prováděna dočasným zpřístupněním tzv. všeobecných zdrojů MMF. Finanční zdroje MMF můžeme rozdělit na vlastní a cizí. Ty jsou tvořeny splacenými členskými podíly (tzv. členské kvóty), zvláštními právy čerpání (SDR), doplňkovými zdroji na základě tzv. Všeobecné dohody o zápůjčce a bilaterálně sjednanými půjčkami s centrálními bankami nebo vládami členských zemí (Marková 2002).</w:t>
      </w:r>
    </w:p>
  </w:footnote>
  <w:footnote w:id="5">
    <w:p w:rsidR="001F4DC5" w:rsidRDefault="001F4DC5" w:rsidP="00DF128A">
      <w:pPr>
        <w:pStyle w:val="Textpoznpodarou"/>
        <w:jc w:val="both"/>
      </w:pPr>
      <w:r>
        <w:rPr>
          <w:rStyle w:val="Znakapoznpodarou"/>
          <w:rFonts w:ascii="Calibri" w:hAnsi="Calibri" w:cs="Calibri"/>
        </w:rPr>
        <w:footnoteRef/>
      </w:r>
      <w:r>
        <w:rPr>
          <w:rFonts w:ascii="Calibri" w:hAnsi="Calibri" w:cs="Calibri"/>
        </w:rPr>
        <w:t xml:space="preserve"> Například Česká republika využila půjčku MMF ve výši 177 mil. SDR v roce 1993 na podporu platební bilance v souvislosti se zavedením vnitřní konvertibility a strukturálních adoptací ekonomiky. Tato půjčka byla splacena již v roce 1994 (Ministerstvo financí České republiky 2005).</w:t>
      </w:r>
    </w:p>
  </w:footnote>
  <w:footnote w:id="6">
    <w:p w:rsidR="001F4DC5" w:rsidRDefault="001F4DC5" w:rsidP="00DF128A">
      <w:pPr>
        <w:pStyle w:val="Textpoznpodarou"/>
        <w:jc w:val="both"/>
        <w:rPr>
          <w:rFonts w:ascii="Calibri" w:hAnsi="Calibri" w:cs="Calibri"/>
        </w:rPr>
      </w:pPr>
      <w:r>
        <w:rPr>
          <w:rStyle w:val="Znakapoznpodarou"/>
          <w:rFonts w:ascii="Calibri" w:hAnsi="Calibri" w:cs="Calibri"/>
        </w:rPr>
        <w:footnoteRef/>
      </w:r>
      <w:r>
        <w:rPr>
          <w:rFonts w:ascii="Calibri" w:hAnsi="Calibri" w:cs="Calibri"/>
        </w:rPr>
        <w:t xml:space="preserve"> Často kritizované bylo i řešení Asijské krize. MMF sestavil za několik dní velmi přísný program pro Koreu bez toho, aby se důkladně obeznámil s finančním systémem tohoto státu a množstvím detailů nepostradatelných pro návrh řešení tamních problémů. Špatnou informovanost MMF o dění i v dalších zemích dokládá případ Ruska, kde značná část půjček od MMF skončila v rukou ruské mafie (Zapletal 2007).</w:t>
      </w:r>
    </w:p>
  </w:footnote>
  <w:footnote w:id="7">
    <w:p w:rsidR="001F4DC5" w:rsidRDefault="001F4DC5" w:rsidP="00DF128A">
      <w:pPr>
        <w:pStyle w:val="Textpoznpodarou"/>
      </w:pPr>
      <w:r>
        <w:rPr>
          <w:rStyle w:val="Znakapoznpodarou"/>
        </w:rPr>
        <w:footnoteRef/>
      </w:r>
      <w:r>
        <w:t xml:space="preserve"> věda a výzkum</w:t>
      </w:r>
    </w:p>
  </w:footnote>
  <w:footnote w:id="8">
    <w:p w:rsidR="001F4DC5" w:rsidRDefault="001F4DC5" w:rsidP="00DF128A">
      <w:pPr>
        <w:pStyle w:val="Textpoznpodarou"/>
        <w:jc w:val="both"/>
      </w:pPr>
      <w:r>
        <w:rPr>
          <w:rStyle w:val="Znakapoznpodarou"/>
        </w:rPr>
        <w:footnoteRef/>
      </w:r>
      <w:r>
        <w:t xml:space="preserve"> Hypermarkety se odlišují od supermarketů větším zastoupením nepotravinářského zboží a také vetší plochou, v rozmezí 2500 m</w:t>
      </w:r>
      <w:r>
        <w:rPr>
          <w:vertAlign w:val="superscript"/>
        </w:rPr>
        <w:t>2</w:t>
      </w:r>
      <w:r>
        <w:t xml:space="preserve"> až 20 000 m</w:t>
      </w:r>
      <w:r>
        <w:rPr>
          <w:vertAlign w:val="superscript"/>
        </w:rPr>
        <w:t>2</w:t>
      </w:r>
      <w:r>
        <w:t>.  Nákupní centrum v sobě zahrnuje hyper- a supermarkety a velké množství dalších obchodů poskytující nejrůznější zboží. Část jejich plochy je vyhrazena i jiným, než prodejním aktivitám (stravování, zábava, sport). Jejich minimální plocha není přesně stanovena, ale v některých pramenech se mluví o 30 000 m</w:t>
      </w:r>
      <w:r>
        <w:rPr>
          <w:vertAlign w:val="superscript"/>
        </w:rPr>
        <w:t>2</w:t>
      </w:r>
      <w:r>
        <w:t>, největší evropská centra pak přesahují 100 000 m</w:t>
      </w:r>
      <w:r>
        <w:rPr>
          <w:vertAlign w:val="superscript"/>
        </w:rPr>
        <w:t>2</w:t>
      </w:r>
      <w:r>
        <w:t>. (Szczyrba 2006)</w:t>
      </w:r>
    </w:p>
  </w:footnote>
  <w:footnote w:id="9">
    <w:p w:rsidR="001F4DC5" w:rsidRDefault="001F4DC5" w:rsidP="00DF128A">
      <w:pPr>
        <w:pStyle w:val="Textpoznpodarou"/>
        <w:jc w:val="both"/>
      </w:pPr>
      <w:r>
        <w:rPr>
          <w:rStyle w:val="Znakapoznpodarou"/>
        </w:rPr>
        <w:footnoteRef/>
      </w:r>
      <w:r>
        <w:t xml:space="preserve"> I zde ovšem došlo od 90. let k výraznému nárůstu prodejů v rámci řetězců provozujících tzv. hobbymarkety.</w:t>
      </w:r>
    </w:p>
  </w:footnote>
  <w:footnote w:id="10">
    <w:p w:rsidR="001F4DC5" w:rsidRDefault="001F4DC5" w:rsidP="00DF128A">
      <w:pPr>
        <w:pStyle w:val="Textpoznpodarou"/>
      </w:pPr>
      <w:r>
        <w:rPr>
          <w:rStyle w:val="Znakapoznpodarou"/>
        </w:rPr>
        <w:footnoteRef/>
      </w:r>
      <w:r>
        <w:t xml:space="preserve"> Z celkového počtu 21 000 prodejen prošlo malou privatizací přibližně 50%, velkou privatizací přibližně 22% a v restitucích bylo navráceno cca 28%. (Cimler – Zadražilová 2007)</w:t>
      </w:r>
    </w:p>
  </w:footnote>
  <w:footnote w:id="11">
    <w:p w:rsidR="001F4DC5" w:rsidRDefault="001F4DC5" w:rsidP="00DF128A">
      <w:pPr>
        <w:pStyle w:val="Textpoznpodarou"/>
      </w:pPr>
      <w:r>
        <w:rPr>
          <w:rStyle w:val="Znakapoznpodarou"/>
        </w:rPr>
        <w:footnoteRef/>
      </w:r>
      <w:r>
        <w:t xml:space="preserve"> Za první zahraniční supermarket u nás se označuje MANA otevřená 6. 6. 1991 v Jihlavě (iDnes) naopak společnost Kmart vstoupila na náš trh díky privatizaci obchodních domů Prior a zapsala si dvě prvenství – jednak to byl první (a zatím jediný) americký řetězec u nás a také jako první odešel, již v roce 1996. (Szczyrba 2005)</w:t>
      </w:r>
    </w:p>
  </w:footnote>
  <w:footnote w:id="12">
    <w:p w:rsidR="001F4DC5" w:rsidRDefault="001F4DC5" w:rsidP="00DF128A">
      <w:pPr>
        <w:pStyle w:val="Textpoznpodarou"/>
      </w:pPr>
      <w:r>
        <w:rPr>
          <w:rStyle w:val="Znakapoznpodarou"/>
        </w:rPr>
        <w:footnoteRef/>
      </w:r>
      <w:r>
        <w:t xml:space="preserve"> Diskontní prodejny se snaží minimalizovat ceny maximálním snížením vstupních nákladů, jako jsou počet zaměstnanců na prodejně, prodej přímo z palet, omezený sortiment a podobně. Mezi diskonty se počítají řetězce Lidl (společnost Aldi), Penny Market (společnost Rewe) a Plus Discaunt (Tengelmann). (Pražská 2000) </w:t>
      </w:r>
    </w:p>
  </w:footnote>
  <w:footnote w:id="13">
    <w:p w:rsidR="001F4DC5" w:rsidRDefault="001F4DC5" w:rsidP="00DF128A">
      <w:pPr>
        <w:pStyle w:val="Textpoznpodarou"/>
      </w:pPr>
      <w:r>
        <w:rPr>
          <w:rStyle w:val="Znakapoznpodarou"/>
        </w:rPr>
        <w:footnoteRef/>
      </w:r>
      <w:r>
        <w:t xml:space="preserve"> V rámci řetězce Billa to je například označení Clever, Quality first, u Tesca Tesco výhodný nákup či Selectit by Tesco, u Kauflandu pal Bestfam a jiné.</w:t>
      </w:r>
    </w:p>
  </w:footnote>
  <w:footnote w:id="14">
    <w:p w:rsidR="001F4DC5" w:rsidRDefault="001F4DC5" w:rsidP="00DF128A">
      <w:pPr>
        <w:pStyle w:val="Textpoznpodarou"/>
      </w:pPr>
      <w:r>
        <w:rPr>
          <w:rStyle w:val="Znakapoznpodarou"/>
        </w:rPr>
        <w:footnoteRef/>
      </w:r>
      <w:r>
        <w:t xml:space="preserve"> V roce 2006 nemělo jen 17měst nad 15 tisíc obyvatel hypermarket. (Cimler – Zadražiloví 2007)</w:t>
      </w:r>
    </w:p>
  </w:footnote>
  <w:footnote w:id="15">
    <w:p w:rsidR="001F4DC5" w:rsidRDefault="001F4DC5" w:rsidP="00DF128A">
      <w:pPr>
        <w:pStyle w:val="Textpoznpodarou"/>
      </w:pPr>
      <w:r>
        <w:rPr>
          <w:rStyle w:val="Znakapoznpodarou"/>
        </w:rPr>
        <w:footnoteRef/>
      </w:r>
      <w:r>
        <w:t xml:space="preserve"> Kritikou mezinárodních společností se zabývají různá místní občanská sdružení a neziskové organizace, u nás asi nejznámější je Nesehnutí viz </w:t>
      </w:r>
      <w:hyperlink r:id="rId1" w:history="1">
        <w:r>
          <w:rPr>
            <w:rStyle w:val="Hypertextovodkaz"/>
          </w:rPr>
          <w:t>www.hyper.cz</w:t>
        </w:r>
      </w:hyperlink>
      <w:r>
        <w:t xml:space="preserve"> </w:t>
      </w:r>
    </w:p>
  </w:footnote>
  <w:footnote w:id="16">
    <w:p w:rsidR="001F4DC5" w:rsidRDefault="001F4DC5" w:rsidP="00DF128A">
      <w:pPr>
        <w:pStyle w:val="Textpoznpodarou"/>
      </w:pPr>
      <w:r>
        <w:rPr>
          <w:rStyle w:val="Znakapoznpodarou"/>
        </w:rPr>
        <w:footnoteRef/>
      </w:r>
      <w:r>
        <w:t xml:space="preserve"> Zpracováno podle Třešňák (2007)</w:t>
      </w:r>
    </w:p>
  </w:footnote>
  <w:footnote w:id="17">
    <w:p w:rsidR="001F4DC5" w:rsidRDefault="001F4DC5" w:rsidP="00DF128A">
      <w:pPr>
        <w:pStyle w:val="Textpoznpodarou"/>
      </w:pPr>
      <w:r>
        <w:rPr>
          <w:rStyle w:val="Znakapoznpodarou"/>
        </w:rPr>
        <w:footnoteRef/>
      </w:r>
      <w:r>
        <w:t xml:space="preserve"> Zpracováno podle </w:t>
      </w:r>
      <w:r w:rsidRPr="00A21A43">
        <w:t>Balasubramanyam</w:t>
      </w:r>
      <w:r>
        <w:t xml:space="preserve"> (2008)</w:t>
      </w:r>
    </w:p>
  </w:footnote>
  <w:footnote w:id="18">
    <w:p w:rsidR="001F4DC5" w:rsidRDefault="001F4DC5" w:rsidP="00DF128A">
      <w:pPr>
        <w:pStyle w:val="Textpoznpodarou"/>
      </w:pPr>
      <w:r>
        <w:rPr>
          <w:rStyle w:val="Znakapoznpodarou"/>
        </w:rPr>
        <w:footnoteRef/>
      </w:r>
      <w:r>
        <w:t xml:space="preserve"> Dahl (2001: 87) nazývá demokracii v reálných podmínkách polyarchií a definuje ji těmito institucemi: volení zástupci, svobodné, spravedlivé a pravidelné volby, svoboda projevu, alternativní zdroje informací, svoboda sdružování, široké občanství.  </w:t>
      </w:r>
    </w:p>
  </w:footnote>
  <w:footnote w:id="19">
    <w:p w:rsidR="001F4DC5" w:rsidRDefault="001F4DC5" w:rsidP="00DF128A">
      <w:pPr>
        <w:pStyle w:val="Textpoznpodarou"/>
      </w:pPr>
      <w:r>
        <w:rPr>
          <w:rStyle w:val="Znakapoznpodarou"/>
        </w:rPr>
        <w:footnoteRef/>
      </w:r>
      <w:r>
        <w:t xml:space="preserve"> Viz youtube </w:t>
      </w:r>
      <w:r w:rsidRPr="001F4DC5">
        <w:rPr>
          <w:lang w:val="de-DE"/>
        </w:rPr>
        <w:t>&lt;</w:t>
      </w:r>
      <w:r>
        <w:t>http://www.youtube.com/watch?v=63h_v6uf0Ao&amp;feature=related</w:t>
      </w:r>
      <w:r w:rsidRPr="001F4DC5">
        <w:rPr>
          <w:lang w:val="de-DE"/>
        </w:rPr>
        <w:t>&gt;</w:t>
      </w:r>
    </w:p>
  </w:footnote>
  <w:footnote w:id="20">
    <w:p w:rsidR="001F4DC5" w:rsidRDefault="001F4DC5" w:rsidP="00DF128A">
      <w:pPr>
        <w:pStyle w:val="Textpoznpodarou"/>
      </w:pPr>
      <w:r>
        <w:rPr>
          <w:rStyle w:val="Znakapoznpodarou"/>
        </w:rPr>
        <w:footnoteRef/>
      </w:r>
      <w:r>
        <w:t xml:space="preserve"> Rozsah takovýchto skandálů vedl před volbami v roce 2005 k apelům pro dočasné uzavírání archivů Ústavu paměti národa, který se věnuje době před rokem 1989 (Millard 2007: 212)</w:t>
      </w:r>
    </w:p>
  </w:footnote>
  <w:footnote w:id="21">
    <w:p w:rsidR="001F4DC5" w:rsidRDefault="001F4DC5" w:rsidP="00DF128A">
      <w:pPr>
        <w:pStyle w:val="Textpoznpodarou"/>
      </w:pPr>
      <w:r>
        <w:rPr>
          <w:rStyle w:val="Znakapoznpodarou"/>
        </w:rPr>
        <w:footnoteRef/>
      </w:r>
      <w:r>
        <w:t xml:space="preserve"> Aktivity kandidátu během kampaně omezuje celá řada zákonů do detailních podrobností (Takahasi 1990: 192)</w:t>
      </w:r>
    </w:p>
  </w:footnote>
  <w:footnote w:id="22">
    <w:p w:rsidR="001F4DC5" w:rsidRDefault="001F4DC5" w:rsidP="00DF128A">
      <w:pPr>
        <w:pStyle w:val="Textpoznpodarou"/>
      </w:pPr>
      <w:r>
        <w:rPr>
          <w:rStyle w:val="Znakapoznpodarou"/>
        </w:rPr>
        <w:footnoteRef/>
      </w:r>
      <w:r>
        <w:t xml:space="preserve"> Výjimkou je uveřejňováni připližně 10 minutových, velmi formalizovaných profilů kandidátů ve veřejnoprávní TV, strany mohou nakupovat vysílací čas bez omezení (Plasser 2002:93, 208).</w:t>
      </w:r>
    </w:p>
  </w:footnote>
  <w:footnote w:id="23">
    <w:p w:rsidR="001F4DC5" w:rsidRDefault="001F4DC5" w:rsidP="00DF128A">
      <w:pPr>
        <w:pStyle w:val="Textpoznpodarou"/>
      </w:pPr>
      <w:r>
        <w:rPr>
          <w:rStyle w:val="Znakapoznpodarou"/>
        </w:rPr>
        <w:footnoteRef/>
      </w:r>
      <w:r>
        <w:t xml:space="preserve"> Švédský Mezinárodní institut pro demokracii a volební spolupráci IDEA je v jižní Africe velmi aktivní, podobně jako další švédská organizace NOP (Plasser 2002: 36)</w:t>
      </w:r>
    </w:p>
  </w:footnote>
  <w:footnote w:id="24">
    <w:p w:rsidR="001F4DC5" w:rsidRDefault="001F4DC5" w:rsidP="00DF128A">
      <w:pPr>
        <w:pStyle w:val="Textpoznpodarou"/>
      </w:pPr>
      <w:r>
        <w:rPr>
          <w:rStyle w:val="Znakapoznpodarou"/>
        </w:rPr>
        <w:footnoteRef/>
      </w:r>
      <w:r>
        <w:t xml:space="preserve"> I přesto jsou volby postavené vždy na několika hlavních osobnostech (Plasser 2002: 249)</w:t>
      </w:r>
    </w:p>
  </w:footnote>
  <w:footnote w:id="25">
    <w:p w:rsidR="001F4DC5" w:rsidRDefault="001F4DC5" w:rsidP="00DF128A">
      <w:pPr>
        <w:pStyle w:val="Textpoznpodarou"/>
      </w:pPr>
      <w:r>
        <w:rPr>
          <w:rStyle w:val="Znakapoznpodarou"/>
        </w:rPr>
        <w:footnoteRef/>
      </w:r>
      <w:r>
        <w:t xml:space="preserve"> Spoty nazývané Horario gratuito eleitoral jsou krátkými profesionálními videoklipy (viz http://www.pt.org.br/portalpt/index.php?option=com_content&amp;task=blogsection&amp;id=23&amp;Itemid=388)</w:t>
      </w:r>
    </w:p>
  </w:footnote>
  <w:footnote w:id="26">
    <w:p w:rsidR="001F4DC5" w:rsidRDefault="001F4DC5" w:rsidP="00DF128A">
      <w:pPr>
        <w:pStyle w:val="Textpoznpodarou"/>
      </w:pPr>
      <w:r>
        <w:rPr>
          <w:rStyle w:val="Znakapoznpodarou"/>
        </w:rPr>
        <w:footnoteRef/>
      </w:r>
      <w:r>
        <w:t xml:space="preserve"> </w:t>
      </w:r>
      <w:r w:rsidRPr="0076772D">
        <w:t>Ovšem tento vliv v banánovém obchodu není zcela jasný.</w:t>
      </w:r>
    </w:p>
  </w:footnote>
  <w:footnote w:id="27">
    <w:p w:rsidR="001F4DC5" w:rsidRPr="00897E91" w:rsidRDefault="001F4DC5" w:rsidP="00DF128A">
      <w:pPr>
        <w:pStyle w:val="Textpoznpodarou"/>
      </w:pPr>
      <w:r>
        <w:rPr>
          <w:rStyle w:val="Znakapoznpodarou"/>
        </w:rPr>
        <w:footnoteRef/>
      </w:r>
      <w:r>
        <w:t xml:space="preserve"> </w:t>
      </w:r>
      <w:r w:rsidRPr="00897E91">
        <w:rPr>
          <w:bCs/>
        </w:rPr>
        <w:t>The African, Caribb</w:t>
      </w:r>
      <w:r>
        <w:rPr>
          <w:bCs/>
        </w:rPr>
        <w:t>ean and Pacific Group of States</w:t>
      </w:r>
      <w:r w:rsidRPr="00897E91">
        <w:rPr>
          <w:bCs/>
        </w:rPr>
        <w:t xml:space="preserve"> - uskupení 79 rozvojových zemí subsaharské Afriky, karibské a tichomořské oblasti.</w:t>
      </w:r>
    </w:p>
  </w:footnote>
  <w:footnote w:id="28">
    <w:p w:rsidR="001F4DC5" w:rsidRDefault="001F4DC5" w:rsidP="00DF128A">
      <w:pPr>
        <w:pStyle w:val="Textpoznpodarou"/>
      </w:pPr>
      <w:r>
        <w:rPr>
          <w:rStyle w:val="Znakapoznpodarou"/>
        </w:rPr>
        <w:footnoteRef/>
      </w:r>
      <w:r>
        <w:t xml:space="preserve"> World Health Organization</w:t>
      </w:r>
    </w:p>
  </w:footnote>
  <w:footnote w:id="29">
    <w:p w:rsidR="001F4DC5" w:rsidRDefault="001F4DC5" w:rsidP="00DF128A">
      <w:pPr>
        <w:pStyle w:val="Textpoznpodarou"/>
      </w:pPr>
      <w:r>
        <w:rPr>
          <w:rStyle w:val="Znakapoznpodarou"/>
        </w:rPr>
        <w:footnoteRef/>
      </w:r>
      <w:r>
        <w:t xml:space="preserve"> </w:t>
      </w:r>
      <w:r w:rsidRPr="002E7682">
        <w:t>Celkem 70 rozvojových zemí z afrického, karibského a tichooceánského prostoru, které jsou spojeny s ES dohodou z Lomé (IV).</w:t>
      </w:r>
    </w:p>
  </w:footnote>
  <w:footnote w:id="30">
    <w:p w:rsidR="001F4DC5" w:rsidRPr="00575ADD" w:rsidRDefault="001F4DC5" w:rsidP="00DF128A">
      <w:pPr>
        <w:pStyle w:val="Textpoznpodarou"/>
      </w:pPr>
      <w:r>
        <w:rPr>
          <w:rStyle w:val="Znakapoznpodarou"/>
        </w:rPr>
        <w:footnoteRef/>
      </w:r>
      <w:r>
        <w:t xml:space="preserve"> </w:t>
      </w:r>
      <w:r w:rsidRPr="00575ADD">
        <w:t>Ustanovení obchodního zákona, které umožňuje jednostranně uvalit cla na dovozy z těch zemí, které diskriminují americké firmy při přístupu na jejich vlastní trhy.</w:t>
      </w:r>
    </w:p>
    <w:p w:rsidR="001F4DC5" w:rsidRDefault="001F4DC5" w:rsidP="00DF128A">
      <w:pPr>
        <w:pStyle w:val="Textpoznpodarou"/>
      </w:pPr>
    </w:p>
  </w:footnote>
  <w:footnote w:id="31">
    <w:p w:rsidR="001F4DC5" w:rsidRPr="00AC2932" w:rsidRDefault="001F4DC5" w:rsidP="00DF128A">
      <w:pPr>
        <w:pStyle w:val="Textpoznpodarou"/>
      </w:pPr>
      <w:r>
        <w:rPr>
          <w:rStyle w:val="Znakapoznpodarou"/>
        </w:rPr>
        <w:footnoteRef/>
      </w:r>
      <w:r>
        <w:t xml:space="preserve"> Upraveno podle </w:t>
      </w:r>
      <w:r w:rsidRPr="00AC2932">
        <w:t>http://www.bananalink.org.uk/index.php?option=com_content&amp;task=view&amp;id=56&amp;Itemid=16</w:t>
      </w:r>
    </w:p>
  </w:footnote>
  <w:footnote w:id="32">
    <w:p w:rsidR="001F4DC5" w:rsidRDefault="001F4DC5" w:rsidP="00DF128A">
      <w:pPr>
        <w:pStyle w:val="Textpoznpodarou"/>
      </w:pPr>
      <w:r>
        <w:rPr>
          <w:rStyle w:val="Znakapoznpodarou"/>
        </w:rPr>
        <w:footnoteRef/>
      </w:r>
      <w:r>
        <w:t xml:space="preserve"> souhrnný název pro tyto země: Dominika, Grenada, Svatá Lucie, Svatý Vincenc a Grenadiny</w:t>
      </w:r>
    </w:p>
  </w:footnote>
  <w:footnote w:id="33">
    <w:p w:rsidR="001F4DC5" w:rsidRDefault="001F4DC5" w:rsidP="00DF128A">
      <w:pPr>
        <w:pStyle w:val="Textpoznpodarou"/>
      </w:pPr>
      <w:r>
        <w:rPr>
          <w:rStyle w:val="Znakapoznpodarou"/>
        </w:rPr>
        <w:footnoteRef/>
      </w:r>
      <w:r>
        <w:t xml:space="preserve"> </w:t>
      </w:r>
      <w:r w:rsidRPr="002A0D12">
        <w:t xml:space="preserve">Banafair prodává produkty v obchůdcích Jeden svět, obchodech se zdravou výživou, církevních spolcích a dalších maloobchodech a upozorňuje spotřebitele na problematické body při produkci banánů na trhu a to formou vzdělávací činnosti nebo kampaní. </w:t>
      </w:r>
    </w:p>
  </w:footnote>
  <w:footnote w:id="34">
    <w:p w:rsidR="001F4DC5" w:rsidRDefault="001F4DC5" w:rsidP="00DF128A">
      <w:pPr>
        <w:pStyle w:val="Textpoznpodarou"/>
      </w:pPr>
      <w:r>
        <w:rPr>
          <w:rStyle w:val="Znakapoznpodarou"/>
        </w:rPr>
        <w:footnoteRef/>
      </w:r>
      <w:r>
        <w:t xml:space="preserve"> UROCAL je zkratka místního názvu pro Regionální unii svazu hospodářů pobřežních regionů Ekvádoru. Jedná se asi o 5000 rodin v zemi, kteří dodávají přibližně 60 % celkové produkce banánů.</w:t>
      </w:r>
    </w:p>
  </w:footnote>
  <w:footnote w:id="35">
    <w:p w:rsidR="001F4DC5" w:rsidRDefault="001F4DC5" w:rsidP="00DF128A">
      <w:pPr>
        <w:pStyle w:val="Textpoznpodarou"/>
      </w:pPr>
      <w:r>
        <w:rPr>
          <w:rStyle w:val="Znakapoznpodarou"/>
        </w:rPr>
        <w:footnoteRef/>
      </w:r>
      <w:r>
        <w:t xml:space="preserve"> Údaje za rok 2007 (a předpoklad za rok 2008) zatím nejsou známy.</w:t>
      </w:r>
    </w:p>
  </w:footnote>
  <w:footnote w:id="36">
    <w:p w:rsidR="001F4DC5" w:rsidRPr="00B35F23" w:rsidRDefault="001F4DC5" w:rsidP="0016254A">
      <w:pPr>
        <w:pStyle w:val="Textpoznpodarou"/>
        <w:jc w:val="both"/>
      </w:pPr>
      <w:r w:rsidRPr="00B35F23">
        <w:rPr>
          <w:rStyle w:val="Znakapoznpodarou"/>
        </w:rPr>
        <w:footnoteRef/>
      </w:r>
      <w:r w:rsidRPr="00B35F23">
        <w:t xml:space="preserve"> WTO – World trade organization (Světová obchodní organizace)</w:t>
      </w:r>
    </w:p>
  </w:footnote>
  <w:footnote w:id="37">
    <w:p w:rsidR="001F4DC5" w:rsidRPr="00B35F23" w:rsidRDefault="001F4DC5" w:rsidP="0016254A">
      <w:pPr>
        <w:pStyle w:val="Textpoznpodarou"/>
        <w:jc w:val="both"/>
      </w:pPr>
      <w:r w:rsidRPr="00B35F23">
        <w:rPr>
          <w:rStyle w:val="Znakapoznpodarou"/>
        </w:rPr>
        <w:footnoteRef/>
      </w:r>
      <w:r w:rsidRPr="00B35F23">
        <w:t>Globalizace – proces zahrnující různé změny společnosti vedoucí k větší propojenosti politických, sociokulturních a ekonomických událostí na globální úrovni. (PRUDÍKOVÁ, 2010, s. 235)</w:t>
      </w:r>
    </w:p>
  </w:footnote>
  <w:footnote w:id="38">
    <w:p w:rsidR="001F4DC5" w:rsidRDefault="001F4DC5" w:rsidP="0016254A">
      <w:pPr>
        <w:pStyle w:val="Textpoznpodarou"/>
        <w:jc w:val="both"/>
      </w:pPr>
      <w:r w:rsidRPr="00B35F23">
        <w:rPr>
          <w:rStyle w:val="Znakapoznpodarou"/>
        </w:rPr>
        <w:footnoteRef/>
      </w:r>
      <w:r w:rsidRPr="00B35F23">
        <w:t xml:space="preserve"> G8 – </w:t>
      </w:r>
      <w:r w:rsidRPr="00B35F23">
        <w:rPr>
          <w:shd w:val="clear" w:color="auto" w:fill="FFFFFF"/>
        </w:rPr>
        <w:t xml:space="preserve">sdružení osmi nejvyspělejších států světa: </w:t>
      </w:r>
      <w:hyperlink r:id="rId2" w:tooltip="Francie" w:history="1">
        <w:r w:rsidRPr="00B35F23">
          <w:rPr>
            <w:rStyle w:val="Hypertextovodkaz"/>
            <w:shd w:val="clear" w:color="auto" w:fill="FFFFFF"/>
          </w:rPr>
          <w:t>Francie</w:t>
        </w:r>
      </w:hyperlink>
      <w:r w:rsidRPr="00B35F23">
        <w:rPr>
          <w:shd w:val="clear" w:color="auto" w:fill="FFFFFF"/>
        </w:rPr>
        <w:t>,</w:t>
      </w:r>
      <w:r w:rsidRPr="00B35F23">
        <w:rPr>
          <w:rStyle w:val="apple-converted-space"/>
          <w:shd w:val="clear" w:color="auto" w:fill="FFFFFF"/>
        </w:rPr>
        <w:t> </w:t>
      </w:r>
      <w:hyperlink r:id="rId3" w:tooltip="Itálie" w:history="1">
        <w:r w:rsidRPr="00B35F23">
          <w:rPr>
            <w:rStyle w:val="Hypertextovodkaz"/>
            <w:shd w:val="clear" w:color="auto" w:fill="FFFFFF"/>
          </w:rPr>
          <w:t>Itálie</w:t>
        </w:r>
      </w:hyperlink>
      <w:r w:rsidRPr="00B35F23">
        <w:rPr>
          <w:shd w:val="clear" w:color="auto" w:fill="FFFFFF"/>
        </w:rPr>
        <w:t>,</w:t>
      </w:r>
      <w:r w:rsidRPr="00B35F23">
        <w:rPr>
          <w:rStyle w:val="apple-converted-space"/>
          <w:shd w:val="clear" w:color="auto" w:fill="FFFFFF"/>
        </w:rPr>
        <w:t> </w:t>
      </w:r>
      <w:hyperlink r:id="rId4" w:tooltip="Japonsko" w:history="1">
        <w:r w:rsidRPr="00B35F23">
          <w:rPr>
            <w:rStyle w:val="Hypertextovodkaz"/>
            <w:shd w:val="clear" w:color="auto" w:fill="FFFFFF"/>
          </w:rPr>
          <w:t>Japonsko</w:t>
        </w:r>
      </w:hyperlink>
      <w:r w:rsidRPr="00B35F23">
        <w:rPr>
          <w:shd w:val="clear" w:color="auto" w:fill="FFFFFF"/>
        </w:rPr>
        <w:t xml:space="preserve">, </w:t>
      </w:r>
      <w:hyperlink r:id="rId5" w:tooltip="Kanada" w:history="1">
        <w:r w:rsidRPr="00B35F23">
          <w:rPr>
            <w:rStyle w:val="Hypertextovodkaz"/>
            <w:shd w:val="clear" w:color="auto" w:fill="FFFFFF"/>
          </w:rPr>
          <w:t>Kanada</w:t>
        </w:r>
      </w:hyperlink>
      <w:r w:rsidRPr="00B35F23">
        <w:rPr>
          <w:shd w:val="clear" w:color="auto" w:fill="FFFFFF"/>
        </w:rPr>
        <w:t>,</w:t>
      </w:r>
      <w:r w:rsidRPr="00B35F23">
        <w:rPr>
          <w:rStyle w:val="apple-converted-space"/>
          <w:shd w:val="clear" w:color="auto" w:fill="FFFFFF"/>
        </w:rPr>
        <w:t> </w:t>
      </w:r>
      <w:hyperlink r:id="rId6" w:tooltip="Německo" w:history="1">
        <w:r w:rsidRPr="00B35F23">
          <w:rPr>
            <w:rStyle w:val="Hypertextovodkaz"/>
            <w:shd w:val="clear" w:color="auto" w:fill="FFFFFF"/>
          </w:rPr>
          <w:t>Německo</w:t>
        </w:r>
      </w:hyperlink>
      <w:r w:rsidRPr="00B35F23">
        <w:rPr>
          <w:shd w:val="clear" w:color="auto" w:fill="FFFFFF"/>
        </w:rPr>
        <w:t>,</w:t>
      </w:r>
      <w:r w:rsidRPr="00B35F23">
        <w:rPr>
          <w:rStyle w:val="apple-converted-space"/>
          <w:shd w:val="clear" w:color="auto" w:fill="FFFFFF"/>
        </w:rPr>
        <w:t> </w:t>
      </w:r>
      <w:hyperlink r:id="rId7" w:tooltip="Spojené království" w:history="1">
        <w:r w:rsidRPr="00B35F23">
          <w:rPr>
            <w:rStyle w:val="Hypertextovodkaz"/>
            <w:shd w:val="clear" w:color="auto" w:fill="FFFFFF"/>
          </w:rPr>
          <w:t>Spojené království</w:t>
        </w:r>
      </w:hyperlink>
      <w:r w:rsidRPr="00B35F23">
        <w:rPr>
          <w:shd w:val="clear" w:color="auto" w:fill="FFFFFF"/>
        </w:rPr>
        <w:t>,</w:t>
      </w:r>
      <w:r w:rsidRPr="00B35F23">
        <w:rPr>
          <w:rStyle w:val="apple-converted-space"/>
          <w:shd w:val="clear" w:color="auto" w:fill="FFFFFF"/>
        </w:rPr>
        <w:t> </w:t>
      </w:r>
      <w:hyperlink r:id="rId8" w:tooltip="Spojené státy americké" w:history="1">
        <w:r w:rsidRPr="00B35F23">
          <w:rPr>
            <w:rStyle w:val="Hypertextovodkaz"/>
            <w:shd w:val="clear" w:color="auto" w:fill="FFFFFF"/>
          </w:rPr>
          <w:t>USA</w:t>
        </w:r>
      </w:hyperlink>
      <w:r w:rsidRPr="00B35F23">
        <w:rPr>
          <w:rStyle w:val="apple-converted-space"/>
          <w:shd w:val="clear" w:color="auto" w:fill="FFFFFF"/>
        </w:rPr>
        <w:t> </w:t>
      </w:r>
      <w:r w:rsidRPr="00B35F23">
        <w:rPr>
          <w:shd w:val="clear" w:color="auto" w:fill="FFFFFF"/>
        </w:rPr>
        <w:t>a</w:t>
      </w:r>
      <w:r w:rsidRPr="00B35F23">
        <w:rPr>
          <w:rStyle w:val="apple-converted-space"/>
          <w:shd w:val="clear" w:color="auto" w:fill="FFFFFF"/>
        </w:rPr>
        <w:t> </w:t>
      </w:r>
      <w:hyperlink r:id="rId9" w:tooltip="Rusko" w:history="1">
        <w:r w:rsidRPr="00D11637">
          <w:rPr>
            <w:rStyle w:val="Hypertextovodkaz"/>
            <w:shd w:val="clear" w:color="auto" w:fill="FFFFFF"/>
          </w:rPr>
          <w:t>Ruska</w:t>
        </w:r>
      </w:hyperlink>
      <w:r w:rsidRPr="00D11637">
        <w:rPr>
          <w:shd w:val="clear" w:color="auto" w:fill="FFFFFF"/>
        </w:rPr>
        <w:t xml:space="preserve"> (</w:t>
      </w:r>
      <w:r w:rsidRPr="00D11637">
        <w:t>WIKIPEDIA, 2012)</w:t>
      </w:r>
    </w:p>
  </w:footnote>
  <w:footnote w:id="39">
    <w:p w:rsidR="001F4DC5" w:rsidRPr="00B53BAD" w:rsidRDefault="001F4DC5" w:rsidP="0016254A">
      <w:pPr>
        <w:pStyle w:val="Textpoznpodarou"/>
        <w:jc w:val="both"/>
      </w:pPr>
      <w:r w:rsidRPr="00B53BAD">
        <w:rPr>
          <w:rStyle w:val="Znakapoznpodarou"/>
        </w:rPr>
        <w:footnoteRef/>
      </w:r>
      <w:r w:rsidRPr="00B53BAD">
        <w:t xml:space="preserve"> </w:t>
      </w:r>
      <w:r w:rsidRPr="00B53BAD">
        <w:rPr>
          <w:color w:val="000000"/>
          <w:shd w:val="clear" w:color="auto" w:fill="FFFFFF"/>
        </w:rPr>
        <w:t>Carnival Against War, Oppression and Destruction taktéž nazývaný jako Stop the City protests</w:t>
      </w:r>
      <w:r>
        <w:rPr>
          <w:color w:val="000000"/>
          <w:shd w:val="clear" w:color="auto" w:fill="FFFFFF"/>
        </w:rPr>
        <w:t xml:space="preserve">. </w:t>
      </w:r>
      <w:r w:rsidRPr="00D11637">
        <w:rPr>
          <w:shd w:val="clear" w:color="auto" w:fill="FFFFFF"/>
        </w:rPr>
        <w:t>(</w:t>
      </w:r>
      <w:r w:rsidRPr="00D11637">
        <w:t>WIKIPEDIA, 2012)</w:t>
      </w:r>
    </w:p>
  </w:footnote>
  <w:footnote w:id="40">
    <w:p w:rsidR="001F4DC5" w:rsidRPr="00C60AF9" w:rsidRDefault="001F4DC5" w:rsidP="0016254A">
      <w:pPr>
        <w:pStyle w:val="Textpoznpodarou"/>
        <w:jc w:val="both"/>
        <w:rPr>
          <w:sz w:val="24"/>
          <w:szCs w:val="24"/>
        </w:rPr>
      </w:pPr>
      <w:r w:rsidRPr="00B53BAD">
        <w:rPr>
          <w:rStyle w:val="Znakapoznpodarou"/>
        </w:rPr>
        <w:footnoteRef/>
      </w:r>
      <w:r w:rsidRPr="00B53BAD">
        <w:t xml:space="preserve"> Reclaim the Streets</w:t>
      </w:r>
      <w:r>
        <w:t xml:space="preserve"> </w:t>
      </w:r>
      <w:r w:rsidRPr="00156D3E">
        <w:t>(Ulice lidem</w:t>
      </w:r>
      <w:r>
        <w:t>)</w:t>
      </w:r>
      <w:r w:rsidRPr="00B53BAD">
        <w:t>: hnutí proti automobilismu a proti výstavbě silnic a dálnic, pořádající pouliční slavnosti jako formu politického protestu.</w:t>
      </w:r>
      <w:r>
        <w:t xml:space="preserve"> (</w:t>
      </w:r>
      <w:r w:rsidRPr="004C7BE7">
        <w:t>GREEN ACTION, 2011)</w:t>
      </w:r>
    </w:p>
  </w:footnote>
  <w:footnote w:id="41">
    <w:p w:rsidR="001F4DC5" w:rsidRPr="00B22EDE" w:rsidRDefault="001F4DC5" w:rsidP="0016254A">
      <w:pPr>
        <w:pStyle w:val="Textpoznpodarou"/>
        <w:jc w:val="both"/>
      </w:pPr>
      <w:r w:rsidRPr="00B22EDE">
        <w:rPr>
          <w:rStyle w:val="Znakapoznpodarou"/>
        </w:rPr>
        <w:footnoteRef/>
      </w:r>
      <w:r w:rsidRPr="00B22EDE">
        <w:t xml:space="preserve"> Termín </w:t>
      </w:r>
      <w:r>
        <w:t>se vžil</w:t>
      </w:r>
      <w:r w:rsidRPr="00B22EDE">
        <w:t xml:space="preserve"> pro označení událostí spojených se zasedáním WTO v Seattlu v roce 1999</w:t>
      </w:r>
    </w:p>
  </w:footnote>
  <w:footnote w:id="42">
    <w:p w:rsidR="001F4DC5" w:rsidRPr="009769E5" w:rsidRDefault="001F4DC5" w:rsidP="0016254A">
      <w:pPr>
        <w:pStyle w:val="Textpoznpodarou"/>
        <w:jc w:val="both"/>
      </w:pPr>
      <w:r w:rsidRPr="009769E5">
        <w:rPr>
          <w:rStyle w:val="Znakapoznpodarou"/>
        </w:rPr>
        <w:footnoteRef/>
      </w:r>
      <w:r w:rsidRPr="009769E5">
        <w:t xml:space="preserve"> </w:t>
      </w:r>
      <w:r>
        <w:t>První konference v Singapuru v roce 1996 se zabývala</w:t>
      </w:r>
      <w:r w:rsidRPr="009769E5">
        <w:t xml:space="preserve"> problémy marginalizace, úlohou WTO, regionálními dohodami, přístupy dalších členů, prováděním dohod a ujednání WTO, obchodem s textilem a rozvojovými aspekty. Otevřela nová, později tzv. singapurská témata: vztah obchodu a investic, obchodu a hospodářské soutěže, usnadňování obchodu a veřejné zakázky. Odsouhlasila uzavření Dohody o obchodu s informačními technologiemi a rozšíření položek bezcelně obchodovaných léčiv.</w:t>
      </w:r>
      <w:r>
        <w:t xml:space="preserve"> (MPO 2005)</w:t>
      </w:r>
    </w:p>
  </w:footnote>
  <w:footnote w:id="43">
    <w:p w:rsidR="001F4DC5" w:rsidRPr="004676E0" w:rsidRDefault="001F4DC5" w:rsidP="0016254A">
      <w:pPr>
        <w:pStyle w:val="Textpoznpodarou"/>
        <w:jc w:val="both"/>
      </w:pPr>
      <w:r w:rsidRPr="004676E0">
        <w:rPr>
          <w:rStyle w:val="Znakapoznpodarou"/>
        </w:rPr>
        <w:footnoteRef/>
      </w:r>
      <w:r w:rsidRPr="004676E0">
        <w:t xml:space="preserve"> Spotřebitelský aktivismus (</w:t>
      </w:r>
      <w:r w:rsidRPr="004676E0">
        <w:rPr>
          <w:i/>
        </w:rPr>
        <w:t>consumer activism</w:t>
      </w:r>
      <w:r w:rsidRPr="004676E0">
        <w:t xml:space="preserve">) je jednání v zájmu spotřebitelů s cílem hájit jejich zájmy. </w:t>
      </w:r>
      <w:r w:rsidRPr="004676E0">
        <w:rPr>
          <w:shd w:val="clear" w:color="auto" w:fill="FFFFFF"/>
        </w:rPr>
        <w:t>(</w:t>
      </w:r>
      <w:r w:rsidRPr="004676E0">
        <w:t>WIKIPEDIA, 2012)</w:t>
      </w:r>
    </w:p>
  </w:footnote>
  <w:footnote w:id="44">
    <w:p w:rsidR="001F4DC5" w:rsidRPr="004676E0" w:rsidRDefault="001F4DC5" w:rsidP="0016254A">
      <w:pPr>
        <w:pStyle w:val="Textpoznpodarou"/>
        <w:jc w:val="both"/>
      </w:pPr>
      <w:r w:rsidRPr="004676E0">
        <w:rPr>
          <w:rStyle w:val="Znakapoznpodarou"/>
        </w:rPr>
        <w:footnoteRef/>
      </w:r>
      <w:r w:rsidRPr="004676E0">
        <w:t xml:space="preserve"> Rainforest Action Networtk je ekologická organizace hájící zájmy lesů a jejich obyvatel přírodních systémů udržujících život na Zemi</w:t>
      </w:r>
      <w:r w:rsidRPr="004676E0">
        <w:rPr>
          <w:b/>
        </w:rPr>
        <w:t>. (</w:t>
      </w:r>
      <w:r w:rsidRPr="004676E0">
        <w:t>R</w:t>
      </w:r>
      <w:r>
        <w:t>AINFOREST ACTION NETWORK</w:t>
      </w:r>
      <w:r w:rsidRPr="004676E0">
        <w:t>, 1995- 2011)</w:t>
      </w:r>
    </w:p>
  </w:footnote>
  <w:footnote w:id="45">
    <w:p w:rsidR="001F4DC5" w:rsidRPr="00866F49" w:rsidRDefault="001F4DC5" w:rsidP="0016254A">
      <w:pPr>
        <w:pStyle w:val="Textpoznpodarou"/>
        <w:jc w:val="both"/>
      </w:pPr>
      <w:r w:rsidRPr="004676E0">
        <w:rPr>
          <w:rStyle w:val="Znakapoznpodarou"/>
        </w:rPr>
        <w:footnoteRef/>
      </w:r>
      <w:r w:rsidRPr="004676E0">
        <w:t xml:space="preserve"> Global Exchange se nazývá nestátní nezisková organizace, která prosazuje dodržování lidských práv a </w:t>
      </w:r>
      <w:r w:rsidRPr="00866F49">
        <w:t>sociální, ekonomickou a environmentální spravedlnost ve světě.</w:t>
      </w:r>
      <w:r w:rsidRPr="00866F49">
        <w:rPr>
          <w:b/>
        </w:rPr>
        <w:t xml:space="preserve"> </w:t>
      </w:r>
      <w:r w:rsidRPr="00866F49">
        <w:t>(</w:t>
      </w:r>
      <w:r>
        <w:t>GLOBAL EXCHANGE,</w:t>
      </w:r>
      <w:r w:rsidRPr="00866F49">
        <w:t xml:space="preserve"> 2011)</w:t>
      </w:r>
    </w:p>
  </w:footnote>
  <w:footnote w:id="46">
    <w:p w:rsidR="001F4DC5" w:rsidRPr="00866F49" w:rsidRDefault="001F4DC5" w:rsidP="0016254A">
      <w:pPr>
        <w:pStyle w:val="Textpoznpodarou"/>
        <w:jc w:val="both"/>
      </w:pPr>
      <w:r w:rsidRPr="00866F49">
        <w:rPr>
          <w:rStyle w:val="Znakapoznpodarou"/>
        </w:rPr>
        <w:footnoteRef/>
      </w:r>
      <w:r w:rsidRPr="00866F49">
        <w:t xml:space="preserve"> Jubilee 2000 bylo mezinárodní hnutí požadující odpuštění dluhů třetímu světu do roku 2000, v roce 2001 se rozdělilo do řady jiných organizací po celém světě.</w:t>
      </w:r>
      <w:r w:rsidRPr="00866F49">
        <w:rPr>
          <w:b/>
        </w:rPr>
        <w:t xml:space="preserve"> </w:t>
      </w:r>
      <w:r w:rsidRPr="00866F49">
        <w:rPr>
          <w:shd w:val="clear" w:color="auto" w:fill="FFFFFF"/>
        </w:rPr>
        <w:t>(</w:t>
      </w:r>
      <w:r w:rsidRPr="00866F49">
        <w:t>WIKIPEDIA, 2012)</w:t>
      </w:r>
    </w:p>
  </w:footnote>
  <w:footnote w:id="47">
    <w:p w:rsidR="001F4DC5" w:rsidRPr="00866F49" w:rsidRDefault="001F4DC5" w:rsidP="0016254A">
      <w:pPr>
        <w:pStyle w:val="Textpoznpodarou"/>
        <w:jc w:val="both"/>
      </w:pPr>
      <w:r w:rsidRPr="00866F49">
        <w:rPr>
          <w:rStyle w:val="Znakapoznpodarou"/>
        </w:rPr>
        <w:footnoteRef/>
      </w:r>
      <w:r w:rsidRPr="00866F49">
        <w:t xml:space="preserve"> AFL-CIO (American Federation of Labor and Congress of Industrial Organizations) představuje největší odborový svaz ve Spojených státech amerických.</w:t>
      </w:r>
      <w:r w:rsidRPr="00866F49">
        <w:rPr>
          <w:b/>
        </w:rPr>
        <w:t xml:space="preserve"> (</w:t>
      </w:r>
      <w:r w:rsidRPr="00866F49">
        <w:t>AFL-CIO:</w:t>
      </w:r>
      <w:r>
        <w:t>AMERICA´S UNIONS</w:t>
      </w:r>
      <w:r w:rsidRPr="00866F49">
        <w:t>, 2012)</w:t>
      </w:r>
    </w:p>
  </w:footnote>
  <w:footnote w:id="48">
    <w:p w:rsidR="001F4DC5" w:rsidRPr="00866F49" w:rsidRDefault="001F4DC5" w:rsidP="0016254A">
      <w:pPr>
        <w:pStyle w:val="Textpoznpodarou"/>
        <w:jc w:val="both"/>
      </w:pPr>
      <w:r w:rsidRPr="00866F49">
        <w:rPr>
          <w:rStyle w:val="Znakapoznpodarou"/>
        </w:rPr>
        <w:footnoteRef/>
      </w:r>
      <w:r w:rsidRPr="00866F49">
        <w:t xml:space="preserve"> Disciplinární neoliberalismus (</w:t>
      </w:r>
      <w:r w:rsidRPr="00866F49">
        <w:rPr>
          <w:i/>
        </w:rPr>
        <w:t>disciplinary neoliberalism</w:t>
      </w:r>
      <w:r w:rsidRPr="00866F49">
        <w:t>) zahrnuje politické a právní reformy vedoucí k redefinici politiky prostřednictvím závazných mechanismů a je spojován se zájmy velkých nadnárodních korporací a dominantních sil v nejvyspělejších státech světa. (GILL, 2002, s. 47-65)</w:t>
      </w:r>
    </w:p>
  </w:footnote>
  <w:footnote w:id="49">
    <w:p w:rsidR="001F4DC5" w:rsidRPr="004E2422" w:rsidRDefault="001F4DC5" w:rsidP="0016254A">
      <w:pPr>
        <w:pStyle w:val="Textpoznpodarou"/>
        <w:jc w:val="both"/>
        <w:rPr>
          <w:color w:val="FF0000"/>
        </w:rPr>
      </w:pPr>
      <w:r w:rsidRPr="00866F49">
        <w:rPr>
          <w:rStyle w:val="Znakapoznpodarou"/>
        </w:rPr>
        <w:footnoteRef/>
      </w:r>
      <w:r w:rsidRPr="00866F49">
        <w:t xml:space="preserve"> Moderní konstitucionalismus (</w:t>
      </w:r>
      <w:r w:rsidRPr="00866F49">
        <w:rPr>
          <w:i/>
        </w:rPr>
        <w:t>new constitutionalism</w:t>
      </w:r>
      <w:r w:rsidRPr="00866F49">
        <w:t>) je protiváhou disciplinárnímu neoliberalismu a spočívá v přehodnocení vztahu mezi ekonomikou a politikou s cílem posílit politické rozhodování. (GILL, 2002, s. 47-65)</w:t>
      </w:r>
    </w:p>
  </w:footnote>
  <w:footnote w:id="50">
    <w:p w:rsidR="001F4DC5" w:rsidRPr="00F736B7" w:rsidRDefault="001F4DC5" w:rsidP="0016254A">
      <w:pPr>
        <w:pStyle w:val="Textpoznpodarou"/>
        <w:jc w:val="both"/>
      </w:pPr>
      <w:r w:rsidRPr="00F736B7">
        <w:rPr>
          <w:rStyle w:val="Znakapoznpodarou"/>
        </w:rPr>
        <w:footnoteRef/>
      </w:r>
      <w:r w:rsidRPr="00F736B7">
        <w:t xml:space="preserve"> Sociální reprodukce (</w:t>
      </w:r>
      <w:r w:rsidRPr="00F736B7">
        <w:rPr>
          <w:i/>
        </w:rPr>
        <w:t>social reproduction</w:t>
      </w:r>
      <w:r w:rsidRPr="00F736B7">
        <w:t xml:space="preserve">) je sociologický termín odkazující na zachování charakteristik dané sociální struktury či tradice po určité časové období. </w:t>
      </w:r>
      <w:r w:rsidRPr="00F736B7">
        <w:rPr>
          <w:b/>
        </w:rPr>
        <w:t>(</w:t>
      </w:r>
      <w:r>
        <w:t>VODÁKOVÁ</w:t>
      </w:r>
      <w:r w:rsidRPr="00F736B7">
        <w:t xml:space="preserve"> – PETRUSEK, 1996, s. 924)</w:t>
      </w:r>
    </w:p>
  </w:footnote>
  <w:footnote w:id="51">
    <w:p w:rsidR="001F4DC5" w:rsidRPr="00564FFD" w:rsidRDefault="001F4DC5" w:rsidP="0016254A">
      <w:pPr>
        <w:pStyle w:val="Textpoznpodarou"/>
        <w:jc w:val="both"/>
      </w:pPr>
      <w:r w:rsidRPr="00564FFD">
        <w:rPr>
          <w:rStyle w:val="Znakapoznpodarou"/>
        </w:rPr>
        <w:footnoteRef/>
      </w:r>
      <w:r w:rsidRPr="00564FFD">
        <w:t xml:space="preserve"> K tomuto datu odkazuje zkratka N30 (z anglického November 30</w:t>
      </w:r>
      <w:r w:rsidRPr="00564FFD">
        <w:rPr>
          <w:vertAlign w:val="superscript"/>
        </w:rPr>
        <w:t>th</w:t>
      </w:r>
      <w:r w:rsidRPr="00564FFD">
        <w:t>) hojně využívaná v</w:t>
      </w:r>
      <w:r>
        <w:t> </w:t>
      </w:r>
      <w:r w:rsidRPr="00564FFD">
        <w:t>médiích</w:t>
      </w:r>
      <w:r>
        <w:t>.</w:t>
      </w:r>
    </w:p>
  </w:footnote>
  <w:footnote w:id="52">
    <w:p w:rsidR="001F4DC5" w:rsidRPr="00762470" w:rsidRDefault="001F4DC5" w:rsidP="0016254A">
      <w:pPr>
        <w:pStyle w:val="Textpoznpodarou"/>
        <w:jc w:val="both"/>
      </w:pPr>
      <w:r w:rsidRPr="00762470">
        <w:rPr>
          <w:rStyle w:val="Znakapoznpodarou"/>
        </w:rPr>
        <w:footnoteRef/>
      </w:r>
      <w:r w:rsidRPr="00762470">
        <w:t xml:space="preserve"> Direct action network se zformovala ke koordinaci přímé akce při antiglobalizačních protestech v Seattlu v roce 1999 a tvořily ji svazky anarchistických a antiautoritářských skupin i organizací. </w:t>
      </w:r>
      <w:r>
        <w:t>(GILLHAM</w:t>
      </w:r>
      <w:r w:rsidRPr="00BD635D">
        <w:t xml:space="preserve"> - MARX, 2003, s. 62-63)</w:t>
      </w:r>
    </w:p>
  </w:footnote>
  <w:footnote w:id="53">
    <w:p w:rsidR="001F4DC5" w:rsidRPr="00564FFD" w:rsidRDefault="001F4DC5" w:rsidP="0016254A">
      <w:pPr>
        <w:pStyle w:val="Textpoznpodarou"/>
        <w:jc w:val="both"/>
      </w:pPr>
      <w:r w:rsidRPr="00564FFD">
        <w:rPr>
          <w:rStyle w:val="Znakapoznpodarou"/>
        </w:rPr>
        <w:footnoteRef/>
      </w:r>
      <w:r w:rsidRPr="00564FFD">
        <w:t xml:space="preserve"> Např. i ministryně zahraničních věcí Spojených států amerických Madeleine Albrightová.</w:t>
      </w:r>
      <w:r>
        <w:t xml:space="preserve"> (</w:t>
      </w:r>
      <w:r w:rsidRPr="00762470">
        <w:t>MCNALLY, 2006)</w:t>
      </w:r>
    </w:p>
  </w:footnote>
  <w:footnote w:id="54">
    <w:p w:rsidR="001F4DC5" w:rsidRPr="007E5064" w:rsidRDefault="001F4DC5" w:rsidP="0016254A">
      <w:pPr>
        <w:pStyle w:val="Textpoznpodarou"/>
        <w:jc w:val="both"/>
      </w:pPr>
      <w:r w:rsidRPr="00564FFD">
        <w:rPr>
          <w:rStyle w:val="Znakapoznpodarou"/>
        </w:rPr>
        <w:footnoteRef/>
      </w:r>
      <w:r w:rsidRPr="00564FFD">
        <w:t xml:space="preserve"> Průchod jim byl nakonec </w:t>
      </w:r>
      <w:r w:rsidRPr="007E5064">
        <w:t>umožněn dle plánu. (GILLHAM</w:t>
      </w:r>
      <w:r>
        <w:t xml:space="preserve"> </w:t>
      </w:r>
      <w:r w:rsidRPr="007E5064">
        <w:t>– MARX, 2003)</w:t>
      </w:r>
    </w:p>
  </w:footnote>
  <w:footnote w:id="55">
    <w:p w:rsidR="001F4DC5" w:rsidRPr="00BD2D9E" w:rsidRDefault="001F4DC5" w:rsidP="0016254A">
      <w:pPr>
        <w:pStyle w:val="Textpoznpodarou"/>
        <w:jc w:val="both"/>
      </w:pPr>
      <w:r w:rsidRPr="00BD2D9E">
        <w:rPr>
          <w:rStyle w:val="Znakapoznpodarou"/>
        </w:rPr>
        <w:footnoteRef/>
      </w:r>
      <w:r w:rsidRPr="00BD2D9E">
        <w:t xml:space="preserve"> Dumping je nekalá obchodní praxe, při které společnost prodává tentýž výrobek za rozdílné ceny na domácím trhu a pro vývoz.</w:t>
      </w:r>
      <w:r>
        <w:t xml:space="preserve"> (MPO 2005)</w:t>
      </w:r>
    </w:p>
  </w:footnote>
  <w:footnote w:id="56">
    <w:p w:rsidR="001F4DC5" w:rsidRDefault="001F4DC5" w:rsidP="0016254A">
      <w:pPr>
        <w:pStyle w:val="Textpoznpodarou"/>
      </w:pPr>
      <w:r>
        <w:rPr>
          <w:rStyle w:val="Znakapoznpodarou"/>
        </w:rPr>
        <w:footnoteRef/>
      </w:r>
      <w:r>
        <w:t xml:space="preserve"> Záběr práce byl rozšířen nejen na kulturní globalizaci, ale na globalizaci obecně. Bylo to nutné, </w:t>
      </w:r>
      <w:proofErr w:type="gramStart"/>
      <w:r>
        <w:t>viz. níže</w:t>
      </w:r>
      <w:proofErr w:type="gramEnd"/>
      <w:r>
        <w:t>.</w:t>
      </w:r>
    </w:p>
  </w:footnote>
  <w:footnote w:id="57">
    <w:p w:rsidR="001F4DC5" w:rsidRDefault="001F4DC5" w:rsidP="0016254A">
      <w:pPr>
        <w:pStyle w:val="Textpoznpodarou"/>
      </w:pPr>
      <w:r>
        <w:rPr>
          <w:rStyle w:val="Znakapoznpodarou"/>
        </w:rPr>
        <w:footnoteRef/>
      </w:r>
      <w:r>
        <w:t xml:space="preserve"> V oblasti žánru world music se tyto dvě úvodní podmínky bohužel ukázaly být značně omezující.</w:t>
      </w:r>
    </w:p>
  </w:footnote>
  <w:footnote w:id="58">
    <w:p w:rsidR="001F4DC5" w:rsidRDefault="001F4DC5" w:rsidP="0016254A">
      <w:pPr>
        <w:pStyle w:val="Textpoznpodarou"/>
      </w:pPr>
      <w:r>
        <w:rPr>
          <w:rStyle w:val="Znakapoznpodarou"/>
        </w:rPr>
        <w:footnoteRef/>
      </w:r>
      <w:r>
        <w:t xml:space="preserve"> Viz. </w:t>
      </w:r>
      <w:proofErr w:type="gramStart"/>
      <w:r>
        <w:t>např.</w:t>
      </w:r>
      <w:proofErr w:type="gramEnd"/>
      <w:r>
        <w:t xml:space="preserve"> Alan Ingram a jeho textuální analýza obrazové výstavy: INGRAM, Alan. 2009. „Art and the Geopolitical: Remapping Security at Green Zone/Red Zone“ In DODDS, Klaus, INGRAM, Alan. </w:t>
      </w:r>
      <w:r w:rsidRPr="0041654E">
        <w:rPr>
          <w:i/>
        </w:rPr>
        <w:t>Spaces of Security and Insecurity: Geographies on the War on Terror</w:t>
      </w:r>
      <w:r>
        <w:t>. Farnham: Ashgate Publishing. s. 257-278.</w:t>
      </w:r>
    </w:p>
  </w:footnote>
  <w:footnote w:id="59">
    <w:p w:rsidR="001F4DC5" w:rsidRDefault="001F4DC5" w:rsidP="0016254A">
      <w:pPr>
        <w:pStyle w:val="Textpoznpodarou"/>
      </w:pPr>
      <w:r>
        <w:rPr>
          <w:rStyle w:val="Znakapoznpodarou"/>
        </w:rPr>
        <w:footnoteRef/>
      </w:r>
      <w:r>
        <w:t xml:space="preserve"> Navíc k analýze hudební složky skladeb by patrně byly třeba etnomuzikologické znalosti, jimiž ovšem autor nedisponuje.</w:t>
      </w:r>
    </w:p>
  </w:footnote>
  <w:footnote w:id="60">
    <w:p w:rsidR="001F4DC5" w:rsidRDefault="001F4DC5" w:rsidP="0016254A">
      <w:pPr>
        <w:pStyle w:val="Textpoznpodarou"/>
      </w:pPr>
      <w:r>
        <w:rPr>
          <w:rStyle w:val="Znakapoznpodarou"/>
        </w:rPr>
        <w:footnoteRef/>
      </w:r>
      <w:r>
        <w:t xml:space="preserve"> Nenáhodným výběrem byla zvolena skupina Asian Dub Foundation a poté náhodně vybráni tři interpreti z těch interpretů, kteří byli někdy členy této skupiny zmíněni jako kolegové nebo jiným způsobem jako další interpreti world music. Námitkou proti tomuto postupu může být, že v takovém případě dochází k určité autokorelaci některých postojů, ovšem vzhledem k charakteru kvalitativní analýzy textů písní toto není příliš podstatné.</w:t>
      </w:r>
    </w:p>
  </w:footnote>
  <w:footnote w:id="61">
    <w:p w:rsidR="001F4DC5" w:rsidRDefault="001F4DC5" w:rsidP="0016254A">
      <w:pPr>
        <w:pStyle w:val="Textpoznpodarou"/>
      </w:pPr>
      <w:r>
        <w:rPr>
          <w:rStyle w:val="Znakapoznpodarou"/>
        </w:rPr>
        <w:footnoteRef/>
      </w:r>
      <w:r>
        <w:t xml:space="preserve"> Kompletní texty analyzovaných skladeb je možné shlédnout například na Lyricsmania.com nebo Metrolyrics.com </w:t>
      </w:r>
    </w:p>
  </w:footnote>
  <w:footnote w:id="62">
    <w:p w:rsidR="001F4DC5" w:rsidRDefault="001F4DC5" w:rsidP="0016254A">
      <w:pPr>
        <w:pStyle w:val="Textpoznpodarou"/>
      </w:pPr>
      <w:r>
        <w:rPr>
          <w:rStyle w:val="Znakapoznpodarou"/>
        </w:rPr>
        <w:footnoteRef/>
      </w:r>
      <w:r>
        <w:t xml:space="preserve"> Čímž samozřejmě není úmyslem zde tvrdit, že chemickými a nukleárními zbraněmi disponuje pouze Západ, nicméně jedná se o znak historicky spojený nejvíce se západní civilizací a jejím technologickým pokrokem.</w:t>
      </w:r>
    </w:p>
  </w:footnote>
  <w:footnote w:id="63">
    <w:p w:rsidR="001F4DC5" w:rsidRDefault="001F4DC5" w:rsidP="0016254A">
      <w:pPr>
        <w:pStyle w:val="Textpoznpodarou"/>
      </w:pPr>
      <w:r>
        <w:rPr>
          <w:rStyle w:val="Znakapoznpodarou"/>
        </w:rPr>
        <w:footnoteRef/>
      </w:r>
      <w:r>
        <w:t xml:space="preserve"> United States Immigration and Naturalization Service</w:t>
      </w:r>
    </w:p>
  </w:footnote>
  <w:footnote w:id="64">
    <w:p w:rsidR="001F4DC5" w:rsidRPr="00971915" w:rsidRDefault="001F4DC5" w:rsidP="0016254A">
      <w:pPr>
        <w:pStyle w:val="Textpoznpodarou"/>
        <w:spacing w:line="276" w:lineRule="auto"/>
        <w:jc w:val="both"/>
        <w:rPr>
          <w:sz w:val="18"/>
          <w:szCs w:val="18"/>
        </w:rPr>
      </w:pPr>
      <w:r w:rsidRPr="00971915">
        <w:rPr>
          <w:rStyle w:val="Znakapoznpodarou"/>
          <w:sz w:val="18"/>
          <w:szCs w:val="18"/>
        </w:rPr>
        <w:footnoteRef/>
      </w:r>
      <w:r w:rsidRPr="00971915">
        <w:rPr>
          <w:sz w:val="18"/>
          <w:szCs w:val="18"/>
        </w:rPr>
        <w:t xml:space="preserve"> V dnešním světě turbulentních změn a rozdílů je poměrně náročné, ne-li nemožné, rozdělovat země na rozvinuté a rozvojové, „první“ a „třetí“ svět, apod. Současně kritikové tohoto rozdělení hovoří o vágním používání slova „rozvoj“, kdy podle tohoto konceptu by země rozvojové nutně měly postupovat tak, aby šly ve stopách rozvinutých, resp. rozvinutějších zemí. Protože jsou tyto termíny, stejně jako rozdělení Sever a Jih, dostatečně zprofanované, budu i já předpokládat jejich „známé“ používání.</w:t>
      </w:r>
    </w:p>
  </w:footnote>
  <w:footnote w:id="65">
    <w:p w:rsidR="001F4DC5" w:rsidRPr="00971915" w:rsidRDefault="001F4DC5" w:rsidP="0016254A">
      <w:pPr>
        <w:pStyle w:val="Textpoznpodarou"/>
        <w:spacing w:line="276" w:lineRule="auto"/>
        <w:jc w:val="both"/>
        <w:rPr>
          <w:sz w:val="18"/>
          <w:szCs w:val="18"/>
        </w:rPr>
      </w:pPr>
      <w:r w:rsidRPr="00971915">
        <w:rPr>
          <w:rStyle w:val="Znakapoznpodarou"/>
          <w:sz w:val="18"/>
          <w:szCs w:val="18"/>
        </w:rPr>
        <w:footnoteRef/>
      </w:r>
      <w:r w:rsidRPr="00971915">
        <w:rPr>
          <w:sz w:val="18"/>
          <w:szCs w:val="18"/>
        </w:rPr>
        <w:t xml:space="preserve"> Wood Mackenzie (2010: 14)</w:t>
      </w:r>
    </w:p>
  </w:footnote>
  <w:footnote w:id="66">
    <w:p w:rsidR="001F4DC5" w:rsidRPr="00971915" w:rsidRDefault="001F4DC5" w:rsidP="0016254A">
      <w:pPr>
        <w:pStyle w:val="Textpoznpodarou"/>
        <w:spacing w:line="276" w:lineRule="auto"/>
        <w:jc w:val="both"/>
        <w:rPr>
          <w:sz w:val="18"/>
          <w:szCs w:val="18"/>
        </w:rPr>
      </w:pPr>
      <w:r w:rsidRPr="00971915">
        <w:rPr>
          <w:rStyle w:val="Znakapoznpodarou"/>
          <w:sz w:val="18"/>
          <w:szCs w:val="18"/>
        </w:rPr>
        <w:footnoteRef/>
      </w:r>
      <w:r w:rsidRPr="00971915">
        <w:rPr>
          <w:sz w:val="18"/>
          <w:szCs w:val="18"/>
        </w:rPr>
        <w:t xml:space="preserve"> Soběstačnost měla být tažena velkými subvencemi (13,7 mld. € do roku 2020 v EU a 7 mld. $ v USA již v roce 2007). (Economist, 2007).</w:t>
      </w:r>
    </w:p>
  </w:footnote>
  <w:footnote w:id="67">
    <w:p w:rsidR="001F4DC5" w:rsidRPr="00971915" w:rsidRDefault="001F4DC5" w:rsidP="0016254A">
      <w:pPr>
        <w:pStyle w:val="Textpoznpodarou"/>
        <w:spacing w:line="276" w:lineRule="auto"/>
        <w:jc w:val="both"/>
        <w:rPr>
          <w:sz w:val="18"/>
          <w:szCs w:val="18"/>
        </w:rPr>
      </w:pPr>
      <w:r w:rsidRPr="00971915">
        <w:rPr>
          <w:rStyle w:val="Znakapoznpodarou"/>
          <w:sz w:val="18"/>
          <w:szCs w:val="18"/>
        </w:rPr>
        <w:footnoteRef/>
      </w:r>
      <w:r w:rsidRPr="00971915">
        <w:rPr>
          <w:sz w:val="18"/>
          <w:szCs w:val="18"/>
        </w:rPr>
        <w:t xml:space="preserve"> ActionAid (2010: 4) přidává další čísla. Pokud by měl být dosažen 10% cíl EU, plocha využívaná k pěstování biopalivových plodin by mohla pouze v rozvojovém světě dosáhnout až 17,5 mil. ha, tedy vice, než je rozloha Itálie. Navíc by v těchto zemích bylo potřeba dodatečné zemědělské půdy pro obživu obyvatel a krmení zvířat, jelikož tyto plodiny musely ustoupit produkci biopaliv. FOE (2010a: 13) dodává, že nejen rozvinuté země mají své cíle o podílu biopaliv na energetické bilanci. Mnoho zemí Latinské Ameriky, Čína, a dokonce země Afriky (Nigérie s cílem 10 % domácích biopaliv v dopravě do roku 2020) se snaží o větší spotřebu biopaliv, což bude mít za následek další boom v produkci.</w:t>
      </w:r>
    </w:p>
  </w:footnote>
  <w:footnote w:id="68">
    <w:p w:rsidR="001F4DC5" w:rsidRPr="00971915" w:rsidRDefault="001F4DC5" w:rsidP="0016254A">
      <w:pPr>
        <w:pStyle w:val="Textpoznpodarou"/>
        <w:spacing w:line="276" w:lineRule="auto"/>
        <w:jc w:val="both"/>
        <w:rPr>
          <w:sz w:val="18"/>
          <w:szCs w:val="18"/>
        </w:rPr>
      </w:pPr>
      <w:r w:rsidRPr="00971915">
        <w:rPr>
          <w:rStyle w:val="Znakapoznpodarou"/>
          <w:sz w:val="18"/>
          <w:szCs w:val="18"/>
        </w:rPr>
        <w:footnoteRef/>
      </w:r>
      <w:r w:rsidRPr="00971915">
        <w:rPr>
          <w:sz w:val="18"/>
          <w:szCs w:val="18"/>
        </w:rPr>
        <w:t xml:space="preserve"> V EU je největším producentem Německo (54 % v roce 2006), ČR dodávala 2,2 % v témže roce. </w:t>
      </w:r>
      <w:r w:rsidRPr="00971915">
        <w:rPr>
          <w:sz w:val="18"/>
          <w:szCs w:val="18"/>
          <w:lang w:val="en-GB"/>
        </w:rPr>
        <w:t xml:space="preserve">European Biodiesel Board 2007; in: </w:t>
      </w:r>
      <w:r w:rsidRPr="00971915">
        <w:rPr>
          <w:sz w:val="18"/>
          <w:szCs w:val="18"/>
        </w:rPr>
        <w:t>Hertel et al. (2008: 6)</w:t>
      </w:r>
    </w:p>
  </w:footnote>
  <w:footnote w:id="69">
    <w:p w:rsidR="001F4DC5" w:rsidRPr="00971915" w:rsidRDefault="001F4DC5" w:rsidP="0016254A">
      <w:pPr>
        <w:pStyle w:val="Textpoznpodarou"/>
        <w:spacing w:line="276" w:lineRule="auto"/>
        <w:jc w:val="both"/>
        <w:rPr>
          <w:sz w:val="18"/>
          <w:szCs w:val="18"/>
          <w:lang w:val="en-GB"/>
        </w:rPr>
      </w:pPr>
      <w:r w:rsidRPr="00971915">
        <w:rPr>
          <w:rStyle w:val="Znakapoznpodarou"/>
          <w:sz w:val="18"/>
          <w:szCs w:val="18"/>
        </w:rPr>
        <w:footnoteRef/>
      </w:r>
      <w:r w:rsidRPr="00971915">
        <w:rPr>
          <w:sz w:val="18"/>
          <w:szCs w:val="18"/>
          <w:lang w:val="en-GB"/>
        </w:rPr>
        <w:t xml:space="preserve"> RFA (Renewable Fuels Association) (online).</w:t>
      </w:r>
      <w:hyperlink r:id="rId10" w:history="1"/>
    </w:p>
  </w:footnote>
  <w:footnote w:id="70">
    <w:p w:rsidR="001F4DC5" w:rsidRPr="00971915" w:rsidRDefault="001F4DC5" w:rsidP="0016254A">
      <w:pPr>
        <w:pStyle w:val="Textpoznpodarou"/>
        <w:spacing w:line="276" w:lineRule="auto"/>
        <w:jc w:val="both"/>
        <w:rPr>
          <w:sz w:val="18"/>
          <w:szCs w:val="18"/>
        </w:rPr>
      </w:pPr>
      <w:r w:rsidRPr="00971915">
        <w:rPr>
          <w:rStyle w:val="Znakapoznpodarou"/>
          <w:sz w:val="18"/>
          <w:szCs w:val="18"/>
        </w:rPr>
        <w:footnoteRef/>
      </w:r>
      <w:r w:rsidRPr="00971915">
        <w:rPr>
          <w:sz w:val="18"/>
          <w:szCs w:val="18"/>
        </w:rPr>
        <w:t xml:space="preserve"> Price </w:t>
      </w:r>
      <w:proofErr w:type="gramStart"/>
      <w:r w:rsidRPr="00971915">
        <w:rPr>
          <w:sz w:val="18"/>
          <w:szCs w:val="18"/>
        </w:rPr>
        <w:t>volatility..</w:t>
      </w:r>
      <w:proofErr w:type="gramEnd"/>
      <w:r w:rsidRPr="00971915">
        <w:rPr>
          <w:sz w:val="18"/>
          <w:szCs w:val="18"/>
        </w:rPr>
        <w:t xml:space="preserve"> (2011: 10). Ceny pšenice, hrubozrnných plodin, olejnatých semen a rostlinného oleje vzrostly o 8, 13, 7, resp. 35 %.</w:t>
      </w:r>
    </w:p>
  </w:footnote>
  <w:footnote w:id="71">
    <w:p w:rsidR="001F4DC5" w:rsidRPr="00971915" w:rsidRDefault="001F4DC5" w:rsidP="0016254A">
      <w:pPr>
        <w:pStyle w:val="Textpoznpodarou"/>
        <w:spacing w:line="276" w:lineRule="auto"/>
        <w:jc w:val="both"/>
        <w:rPr>
          <w:sz w:val="18"/>
          <w:szCs w:val="18"/>
        </w:rPr>
      </w:pPr>
      <w:r w:rsidRPr="00971915">
        <w:rPr>
          <w:rStyle w:val="Znakapoznpodarou"/>
          <w:sz w:val="18"/>
          <w:szCs w:val="18"/>
        </w:rPr>
        <w:footnoteRef/>
      </w:r>
      <w:r w:rsidRPr="00971915">
        <w:rPr>
          <w:sz w:val="18"/>
          <w:szCs w:val="18"/>
        </w:rPr>
        <w:t xml:space="preserve"> Viz. </w:t>
      </w:r>
      <w:proofErr w:type="gramStart"/>
      <w:r w:rsidRPr="00971915">
        <w:rPr>
          <w:sz w:val="18"/>
          <w:szCs w:val="18"/>
        </w:rPr>
        <w:t>např.</w:t>
      </w:r>
      <w:proofErr w:type="gramEnd"/>
      <w:r w:rsidRPr="00971915">
        <w:rPr>
          <w:sz w:val="18"/>
          <w:szCs w:val="18"/>
        </w:rPr>
        <w:t xml:space="preserve"> FOE (2010a: 4). ActionAid (2010: 3) pokračuje s prognózou, že pokud by mělo být dosaženo všech světových cílů o produkci biopaliv, ceny jídla porostou o 76 % do roku 2020, což by mělo za následek dalších 600 mil. hladovějících lidí.</w:t>
      </w:r>
    </w:p>
  </w:footnote>
  <w:footnote w:id="72">
    <w:p w:rsidR="001F4DC5" w:rsidRPr="00971915" w:rsidRDefault="001F4DC5" w:rsidP="0016254A">
      <w:pPr>
        <w:pStyle w:val="Textpoznpodarou"/>
        <w:spacing w:line="276" w:lineRule="auto"/>
        <w:jc w:val="both"/>
        <w:rPr>
          <w:sz w:val="18"/>
          <w:szCs w:val="18"/>
        </w:rPr>
      </w:pPr>
      <w:r w:rsidRPr="00971915">
        <w:rPr>
          <w:rStyle w:val="Znakapoznpodarou"/>
          <w:sz w:val="18"/>
          <w:szCs w:val="18"/>
        </w:rPr>
        <w:footnoteRef/>
      </w:r>
      <w:r w:rsidRPr="00971915">
        <w:rPr>
          <w:sz w:val="18"/>
          <w:szCs w:val="18"/>
        </w:rPr>
        <w:t xml:space="preserve"> Pro bioetanol se pěstují plodiny jako cukrová třtina, sladký čirok, kukuřice a kasava. Palma olejná, sója, podzemnice olejná a jatropha se používají k produkci biodieselu.</w:t>
      </w:r>
    </w:p>
  </w:footnote>
  <w:footnote w:id="73">
    <w:p w:rsidR="001F4DC5" w:rsidRPr="00971915" w:rsidRDefault="001F4DC5" w:rsidP="0016254A">
      <w:pPr>
        <w:pStyle w:val="Textpoznpodarou"/>
        <w:spacing w:line="276" w:lineRule="auto"/>
        <w:jc w:val="both"/>
        <w:rPr>
          <w:sz w:val="18"/>
          <w:szCs w:val="18"/>
        </w:rPr>
      </w:pPr>
      <w:r w:rsidRPr="00971915">
        <w:rPr>
          <w:rStyle w:val="Znakapoznpodarou"/>
          <w:sz w:val="18"/>
          <w:szCs w:val="18"/>
        </w:rPr>
        <w:footnoteRef/>
      </w:r>
      <w:r w:rsidRPr="00971915">
        <w:rPr>
          <w:sz w:val="18"/>
          <w:szCs w:val="18"/>
        </w:rPr>
        <w:t xml:space="preserve"> FOE (2010a: 8). Až 60 % africké populace je životně závislé na lokálním farmaření.</w:t>
      </w:r>
    </w:p>
  </w:footnote>
  <w:footnote w:id="74">
    <w:p w:rsidR="001F4DC5" w:rsidRPr="00971915" w:rsidRDefault="001F4DC5" w:rsidP="0016254A">
      <w:pPr>
        <w:pStyle w:val="Textpoznpodarou"/>
        <w:spacing w:line="276" w:lineRule="auto"/>
        <w:jc w:val="both"/>
        <w:rPr>
          <w:sz w:val="18"/>
          <w:szCs w:val="18"/>
        </w:rPr>
      </w:pPr>
      <w:r w:rsidRPr="00971915">
        <w:rPr>
          <w:rStyle w:val="Znakapoznpodarou"/>
          <w:sz w:val="18"/>
          <w:szCs w:val="18"/>
        </w:rPr>
        <w:footnoteRef/>
      </w:r>
      <w:r w:rsidRPr="00971915">
        <w:rPr>
          <w:sz w:val="18"/>
          <w:szCs w:val="18"/>
        </w:rPr>
        <w:t xml:space="preserve"> </w:t>
      </w:r>
      <w:r w:rsidRPr="00971915">
        <w:rPr>
          <w:sz w:val="18"/>
          <w:szCs w:val="18"/>
          <w:lang w:val="en-GB"/>
        </w:rPr>
        <w:t>Biofuelwatch (2010: 3)</w:t>
      </w:r>
    </w:p>
  </w:footnote>
  <w:footnote w:id="75">
    <w:p w:rsidR="001F4DC5" w:rsidRPr="00971915" w:rsidRDefault="001F4DC5" w:rsidP="0016254A">
      <w:pPr>
        <w:pStyle w:val="Textpoznpodarou"/>
        <w:spacing w:line="276" w:lineRule="auto"/>
        <w:jc w:val="both"/>
        <w:rPr>
          <w:sz w:val="18"/>
          <w:szCs w:val="18"/>
        </w:rPr>
      </w:pPr>
      <w:r w:rsidRPr="00971915">
        <w:rPr>
          <w:rStyle w:val="Znakapoznpodarou"/>
          <w:sz w:val="18"/>
          <w:szCs w:val="18"/>
        </w:rPr>
        <w:footnoteRef/>
      </w:r>
      <w:r w:rsidRPr="00971915">
        <w:rPr>
          <w:sz w:val="18"/>
          <w:szCs w:val="18"/>
        </w:rPr>
        <w:t xml:space="preserve"> FOE (2010a: 16); podobně Danielsen et al. (2008: 7) hovoří o tom, že 100 – 150 let trvá palmě olejné, aby úspory emisí CO</w:t>
      </w:r>
      <w:r w:rsidRPr="00971915">
        <w:rPr>
          <w:sz w:val="18"/>
          <w:szCs w:val="18"/>
          <w:vertAlign w:val="subscript"/>
        </w:rPr>
        <w:t>2</w:t>
      </w:r>
      <w:r w:rsidRPr="00971915">
        <w:rPr>
          <w:sz w:val="18"/>
          <w:szCs w:val="18"/>
        </w:rPr>
        <w:t xml:space="preserve"> dorovnaly ztráty, které plynou z deforestace.</w:t>
      </w:r>
    </w:p>
  </w:footnote>
  <w:footnote w:id="76">
    <w:p w:rsidR="001F4DC5" w:rsidRPr="00971915" w:rsidRDefault="001F4DC5" w:rsidP="0016254A">
      <w:pPr>
        <w:pStyle w:val="Textpoznpodarou"/>
        <w:spacing w:line="276" w:lineRule="auto"/>
        <w:jc w:val="both"/>
        <w:rPr>
          <w:sz w:val="18"/>
          <w:szCs w:val="18"/>
        </w:rPr>
      </w:pPr>
      <w:r w:rsidRPr="00971915">
        <w:rPr>
          <w:rStyle w:val="Znakapoznpodarou"/>
          <w:sz w:val="18"/>
          <w:szCs w:val="18"/>
        </w:rPr>
        <w:footnoteRef/>
      </w:r>
      <w:r w:rsidRPr="00971915">
        <w:rPr>
          <w:sz w:val="18"/>
          <w:szCs w:val="18"/>
        </w:rPr>
        <w:t xml:space="preserve"> Ambali et al. (2010: 9) hovoří o biopalivových plodinách jako o téměř nejvíc žíznivých v celém zemědělství.</w:t>
      </w:r>
    </w:p>
  </w:footnote>
  <w:footnote w:id="77">
    <w:p w:rsidR="001F4DC5" w:rsidRPr="00971915" w:rsidRDefault="001F4DC5" w:rsidP="0016254A">
      <w:pPr>
        <w:pStyle w:val="Textpoznpodarou"/>
        <w:spacing w:line="276" w:lineRule="auto"/>
        <w:jc w:val="both"/>
        <w:rPr>
          <w:sz w:val="18"/>
          <w:szCs w:val="18"/>
        </w:rPr>
      </w:pPr>
      <w:r w:rsidRPr="00971915">
        <w:rPr>
          <w:rStyle w:val="Znakapoznpodarou"/>
          <w:sz w:val="18"/>
          <w:szCs w:val="18"/>
        </w:rPr>
        <w:footnoteRef/>
      </w:r>
      <w:r w:rsidRPr="00971915">
        <w:rPr>
          <w:sz w:val="18"/>
          <w:szCs w:val="18"/>
        </w:rPr>
        <w:t xml:space="preserve"> AIDEnvironment (2004: 1)</w:t>
      </w:r>
    </w:p>
  </w:footnote>
  <w:footnote w:id="78">
    <w:p w:rsidR="001F4DC5" w:rsidRPr="00971915" w:rsidRDefault="001F4DC5" w:rsidP="0016254A">
      <w:pPr>
        <w:pStyle w:val="Textpoznpodarou"/>
        <w:spacing w:line="276" w:lineRule="auto"/>
        <w:jc w:val="both"/>
        <w:rPr>
          <w:sz w:val="18"/>
          <w:szCs w:val="18"/>
        </w:rPr>
      </w:pPr>
      <w:r w:rsidRPr="00971915">
        <w:rPr>
          <w:rStyle w:val="Znakapoznpodarou"/>
          <w:sz w:val="18"/>
          <w:szCs w:val="18"/>
        </w:rPr>
        <w:footnoteRef/>
      </w:r>
      <w:r w:rsidRPr="00971915">
        <w:rPr>
          <w:sz w:val="18"/>
          <w:szCs w:val="18"/>
        </w:rPr>
        <w:t xml:space="preserve"> Colbran (2011: 66) dodává, že odbyt indonéských biopaliv je zajištěn domluvou s EU, kdy v roce 2006 společně s Malajsií dohodli podíl 20% na trhu, a také že 40 % produkce palmy olejné musí být používáno k produkci biopaliv.</w:t>
      </w:r>
    </w:p>
  </w:footnote>
  <w:footnote w:id="79">
    <w:p w:rsidR="001F4DC5" w:rsidRPr="00971915" w:rsidRDefault="001F4DC5" w:rsidP="0016254A">
      <w:pPr>
        <w:pStyle w:val="Textpoznpodarou"/>
        <w:spacing w:line="276" w:lineRule="auto"/>
        <w:jc w:val="both"/>
        <w:rPr>
          <w:sz w:val="18"/>
          <w:szCs w:val="18"/>
        </w:rPr>
      </w:pPr>
      <w:r w:rsidRPr="00971915">
        <w:rPr>
          <w:rStyle w:val="Znakapoznpodarou"/>
          <w:sz w:val="18"/>
          <w:szCs w:val="18"/>
        </w:rPr>
        <w:footnoteRef/>
      </w:r>
      <w:r w:rsidRPr="00971915">
        <w:rPr>
          <w:sz w:val="18"/>
          <w:szCs w:val="18"/>
        </w:rPr>
        <w:t xml:space="preserve"> Celkově se jedná o 67 projektů a 114 biomasových elektráren. Dalších 12,4 mld. dolarů mělo přijít v následujících 3 letech. Dalším důležitým projektem je investiční záměr Číny na Kalimantanu a Papui za 5,5 mld. dolarů na produkci biodieselu. (ICIS 2007).</w:t>
      </w:r>
    </w:p>
  </w:footnote>
  <w:footnote w:id="80">
    <w:p w:rsidR="001F4DC5" w:rsidRPr="00971915" w:rsidRDefault="001F4DC5" w:rsidP="0016254A">
      <w:pPr>
        <w:pStyle w:val="Textpoznpodarou"/>
        <w:spacing w:line="276" w:lineRule="auto"/>
        <w:jc w:val="both"/>
        <w:rPr>
          <w:sz w:val="18"/>
          <w:szCs w:val="18"/>
        </w:rPr>
      </w:pPr>
      <w:r w:rsidRPr="00971915">
        <w:rPr>
          <w:rStyle w:val="Znakapoznpodarou"/>
          <w:sz w:val="18"/>
          <w:szCs w:val="18"/>
        </w:rPr>
        <w:footnoteRef/>
      </w:r>
      <w:r w:rsidRPr="00971915">
        <w:rPr>
          <w:sz w:val="18"/>
          <w:szCs w:val="18"/>
        </w:rPr>
        <w:t xml:space="preserve"> Colbran (2011: 67) přichází se statistikou, kdy z 245 mil. ob. Indonésie žije 52 % pod 2 USD denně, jakožto 35 % dokonce pod 65 centů denně.</w:t>
      </w:r>
    </w:p>
  </w:footnote>
  <w:footnote w:id="81">
    <w:p w:rsidR="001F4DC5" w:rsidRPr="00971915" w:rsidRDefault="001F4DC5" w:rsidP="0016254A">
      <w:pPr>
        <w:pStyle w:val="Textpoznpodarou"/>
        <w:spacing w:line="276" w:lineRule="auto"/>
        <w:jc w:val="both"/>
        <w:rPr>
          <w:sz w:val="18"/>
          <w:szCs w:val="18"/>
        </w:rPr>
      </w:pPr>
      <w:r w:rsidRPr="00971915">
        <w:rPr>
          <w:rStyle w:val="Znakapoznpodarou"/>
          <w:sz w:val="18"/>
          <w:szCs w:val="18"/>
        </w:rPr>
        <w:footnoteRef/>
      </w:r>
      <w:r w:rsidRPr="00971915">
        <w:rPr>
          <w:sz w:val="18"/>
          <w:szCs w:val="18"/>
        </w:rPr>
        <w:t xml:space="preserve"> Ibid: 66. Indonésie se stala v roce 2006 čistým importérem ropy kvůli zvýšené domácí spotřebě, a tudíž se snaží o větší energetickou bezpečnost.</w:t>
      </w:r>
    </w:p>
  </w:footnote>
  <w:footnote w:id="82">
    <w:p w:rsidR="001F4DC5" w:rsidRPr="00971915" w:rsidRDefault="001F4DC5" w:rsidP="0016254A">
      <w:pPr>
        <w:pStyle w:val="Textpoznpodarou"/>
        <w:spacing w:line="276" w:lineRule="auto"/>
        <w:jc w:val="both"/>
        <w:rPr>
          <w:sz w:val="18"/>
          <w:szCs w:val="18"/>
        </w:rPr>
      </w:pPr>
      <w:r w:rsidRPr="00971915">
        <w:rPr>
          <w:rStyle w:val="Znakapoznpodarou"/>
          <w:sz w:val="18"/>
          <w:szCs w:val="18"/>
        </w:rPr>
        <w:footnoteRef/>
      </w:r>
      <w:r w:rsidRPr="00971915">
        <w:rPr>
          <w:sz w:val="18"/>
          <w:szCs w:val="18"/>
        </w:rPr>
        <w:t xml:space="preserve"> Do roku 2050 by měly letecké společnosti přejít stoprocentně na biopalivo. To by znamenalo zábor půdy na 378 mil. ha.</w:t>
      </w:r>
    </w:p>
  </w:footnote>
  <w:footnote w:id="83">
    <w:p w:rsidR="001F4DC5" w:rsidRPr="00971915" w:rsidRDefault="001F4DC5" w:rsidP="0016254A">
      <w:pPr>
        <w:pStyle w:val="Textpoznpodarou"/>
        <w:spacing w:line="276" w:lineRule="auto"/>
        <w:jc w:val="both"/>
        <w:rPr>
          <w:sz w:val="18"/>
          <w:szCs w:val="18"/>
        </w:rPr>
      </w:pPr>
      <w:r w:rsidRPr="00971915">
        <w:rPr>
          <w:rStyle w:val="Znakapoznpodarou"/>
          <w:sz w:val="18"/>
          <w:szCs w:val="18"/>
        </w:rPr>
        <w:footnoteRef/>
      </w:r>
      <w:r w:rsidRPr="00971915">
        <w:rPr>
          <w:sz w:val="18"/>
          <w:szCs w:val="18"/>
        </w:rPr>
        <w:t xml:space="preserve"> Klute (2008: 2) navíc hovoří o praktikách, které vládnou v zemi, a na Papui speciálně. Podle odhadů je až 90 % tamějšího dřeva vytěženo nelegálně.</w:t>
      </w:r>
    </w:p>
  </w:footnote>
  <w:footnote w:id="84">
    <w:p w:rsidR="001F4DC5" w:rsidRPr="00971915" w:rsidRDefault="001F4DC5" w:rsidP="0016254A">
      <w:pPr>
        <w:jc w:val="both"/>
        <w:rPr>
          <w:rFonts w:ascii="Times New Roman" w:hAnsi="Times New Roman" w:cs="Times New Roman"/>
          <w:sz w:val="18"/>
          <w:szCs w:val="18"/>
        </w:rPr>
      </w:pPr>
      <w:r w:rsidRPr="00971915">
        <w:rPr>
          <w:rStyle w:val="Znakapoznpodarou"/>
          <w:sz w:val="18"/>
          <w:szCs w:val="18"/>
        </w:rPr>
        <w:footnoteRef/>
      </w:r>
      <w:r w:rsidRPr="00971915">
        <w:rPr>
          <w:rFonts w:ascii="Times New Roman" w:hAnsi="Times New Roman" w:cs="Times New Roman"/>
          <w:sz w:val="18"/>
          <w:szCs w:val="18"/>
        </w:rPr>
        <w:t xml:space="preserve"> Zvláštním praktikám v zemi napovídá i další konkrétní případ. V provincii Jambi se těží dokonce i v národních parcích, na druhou stranu ochrana národních parků často znamená jejich uzavření dokonce pro místní obyvatele, kteří zde mají tradiční roli a obživu, dokážou les uchovat a navíc zde mají i poutní místa. (viz. Redamazon 2007).</w:t>
      </w:r>
    </w:p>
    <w:p w:rsidR="001F4DC5" w:rsidRPr="00971915" w:rsidRDefault="001F4DC5" w:rsidP="0016254A">
      <w:pPr>
        <w:pStyle w:val="Textpoznpodarou"/>
        <w:spacing w:line="276" w:lineRule="auto"/>
        <w:jc w:val="both"/>
        <w:rPr>
          <w:sz w:val="18"/>
          <w:szCs w:val="18"/>
        </w:rPr>
      </w:pPr>
    </w:p>
  </w:footnote>
  <w:footnote w:id="85">
    <w:p w:rsidR="001F4DC5" w:rsidRDefault="001F4DC5" w:rsidP="0016254A">
      <w:pPr>
        <w:pStyle w:val="Textpoznpodarou"/>
        <w:jc w:val="both"/>
      </w:pPr>
      <w:r>
        <w:rPr>
          <w:rStyle w:val="Znakapoznpodarou"/>
        </w:rPr>
        <w:footnoteRef/>
      </w:r>
      <w:r>
        <w:t xml:space="preserve"> </w:t>
      </w:r>
      <w:r w:rsidRPr="00B26BB3">
        <w:rPr>
          <w:rFonts w:ascii="Arial" w:hAnsi="Arial" w:cs="Arial"/>
        </w:rPr>
        <w:t>Connell (2002:127) tvrdí, že nové scény vzťahov vytvárajú predovšetkým transnacionálne a multinacionálne spoločnosti,</w:t>
      </w:r>
      <w:r>
        <w:t xml:space="preserve"> medzinárodné štáty, medzinárodné médiá a tvorcovia globálneho trhu.</w:t>
      </w:r>
    </w:p>
  </w:footnote>
  <w:footnote w:id="86">
    <w:p w:rsidR="001F4DC5" w:rsidRPr="006F6172" w:rsidRDefault="001F4DC5" w:rsidP="0016254A">
      <w:pPr>
        <w:pStyle w:val="Textpoznpodarou"/>
        <w:rPr>
          <w:rFonts w:ascii="Arial" w:hAnsi="Arial" w:cs="Arial"/>
        </w:rPr>
      </w:pPr>
      <w:r w:rsidRPr="006F6172">
        <w:rPr>
          <w:rStyle w:val="Znakapoznpodarou"/>
        </w:rPr>
        <w:footnoteRef/>
      </w:r>
      <w:r w:rsidRPr="006F6172">
        <w:rPr>
          <w:rFonts w:ascii="Arial" w:hAnsi="Arial" w:cs="Arial"/>
        </w:rPr>
        <w:t xml:space="preserve"> Less Development Regions – krajiny tretieho sveta, rozvojové zeme.</w:t>
      </w:r>
    </w:p>
  </w:footnote>
  <w:footnote w:id="87">
    <w:p w:rsidR="001F4DC5" w:rsidRDefault="001F4DC5" w:rsidP="0016254A">
      <w:pPr>
        <w:pStyle w:val="Textpoznpodarou"/>
      </w:pPr>
      <w:r w:rsidRPr="006F6172">
        <w:rPr>
          <w:rStyle w:val="Znakapoznpodarou"/>
        </w:rPr>
        <w:footnoteRef/>
      </w:r>
      <w:r w:rsidRPr="006F6172">
        <w:rPr>
          <w:rFonts w:ascii="Arial" w:hAnsi="Arial" w:cs="Arial"/>
        </w:rPr>
        <w:t xml:space="preserve"> Často pochádzajúce zo znásilnenia v</w:t>
      </w:r>
      <w:r>
        <w:rPr>
          <w:rFonts w:ascii="Arial" w:hAnsi="Arial" w:cs="Arial"/>
        </w:rPr>
        <w:t> na mieste pracoviska</w:t>
      </w:r>
      <w:r w:rsidRPr="006F6172">
        <w:rPr>
          <w:rFonts w:ascii="Arial" w:hAnsi="Arial" w:cs="Arial"/>
        </w:rPr>
        <w:t>.</w:t>
      </w:r>
    </w:p>
  </w:footnote>
  <w:footnote w:id="88">
    <w:p w:rsidR="001F4DC5" w:rsidRPr="00AC6BEA" w:rsidRDefault="001F4DC5" w:rsidP="0016254A">
      <w:pPr>
        <w:pStyle w:val="Textpoznpodarou"/>
        <w:jc w:val="both"/>
        <w:rPr>
          <w:rFonts w:ascii="Arial" w:hAnsi="Arial" w:cs="Arial"/>
        </w:rPr>
      </w:pPr>
      <w:r w:rsidRPr="006F6172">
        <w:rPr>
          <w:rStyle w:val="Znakapoznpodarou"/>
        </w:rPr>
        <w:footnoteRef/>
      </w:r>
      <w:r w:rsidRPr="006F6172">
        <w:rPr>
          <w:rFonts w:ascii="Arial" w:hAnsi="Arial" w:cs="Arial"/>
        </w:rPr>
        <w:t xml:space="preserve"> Maskulínny muž preberal už od nepamäti dôležitejšie funkcie, ako prvý ulovil mamuta, napísal knihu, bol panovníkom, teda fyzická prevaha je ruka v ruke spojená so sociálnou prevahou, pričom spoločnosť tento fakt </w:t>
      </w:r>
      <w:r w:rsidRPr="00AC6BEA">
        <w:rPr>
          <w:rFonts w:ascii="Arial" w:hAnsi="Arial" w:cs="Arial"/>
        </w:rPr>
        <w:t>prirodzene akceptuje.</w:t>
      </w:r>
    </w:p>
  </w:footnote>
  <w:footnote w:id="89">
    <w:p w:rsidR="001F4DC5" w:rsidRPr="00744B80" w:rsidRDefault="001F4DC5" w:rsidP="0016254A">
      <w:pPr>
        <w:pStyle w:val="Textpoznpodarou"/>
        <w:jc w:val="both"/>
        <w:rPr>
          <w:rFonts w:ascii="Arial" w:hAnsi="Arial" w:cs="Arial"/>
          <w:sz w:val="18"/>
          <w:szCs w:val="18"/>
        </w:rPr>
      </w:pPr>
      <w:r>
        <w:rPr>
          <w:rStyle w:val="Znakapoznpodarou"/>
        </w:rPr>
        <w:footnoteRef/>
      </w:r>
      <w:r>
        <w:t xml:space="preserve"> </w:t>
      </w:r>
      <w:r>
        <w:rPr>
          <w:rFonts w:ascii="Arial" w:hAnsi="Arial" w:cs="Arial"/>
        </w:rPr>
        <w:t xml:space="preserve">Viď napríklad medián hrubej mesačnej mzdy v Olomouckom kraji pre rok 2011, pre podskupinu </w:t>
      </w:r>
      <w:r w:rsidRPr="00744B80">
        <w:rPr>
          <w:rFonts w:ascii="Arial" w:hAnsi="Arial" w:cs="Arial"/>
        </w:rPr>
        <w:t>Obsluha strojů na bělení,barvení,čištění,další úpravu tkanin (11 193 Kč), Obsluha strojů na výrobu potravin a příbuzných výrobků (17 134 Kč) a Obsluha strojů na výrobky z cementu,kamene,ostatních nerostů (21 900 Kč) nebo Obsluha strojů a zařízení pro chemickou výrobu (21 820 Kč). Zdroj:</w:t>
      </w:r>
      <w:r w:rsidRPr="00744B80">
        <w:t xml:space="preserve"> </w:t>
      </w:r>
      <w:r w:rsidRPr="00744B80">
        <w:rPr>
          <w:rFonts w:ascii="Arial" w:hAnsi="Arial" w:cs="Arial"/>
        </w:rPr>
        <w:t>http://www.ispv.cz/cz/Vysledky-setreni/Aktualni.aspx</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0D37" w:rsidRDefault="00BC0D37">
    <w:pPr>
      <w:pStyle w:val="Zhlav"/>
    </w:pPr>
    <w:r>
      <w:rPr>
        <w:noProof/>
      </w:rPr>
      <w:drawing>
        <wp:anchor distT="0" distB="0" distL="114300" distR="114300" simplePos="0" relativeHeight="251662336" behindDoc="0" locked="0" layoutInCell="1" allowOverlap="1" wp14:anchorId="5B82BF72" wp14:editId="41F76642">
          <wp:simplePos x="0" y="0"/>
          <wp:positionH relativeFrom="column">
            <wp:posOffset>-252730</wp:posOffset>
          </wp:positionH>
          <wp:positionV relativeFrom="paragraph">
            <wp:posOffset>-297180</wp:posOffset>
          </wp:positionV>
          <wp:extent cx="6696075" cy="1491615"/>
          <wp:effectExtent l="0" t="0" r="9525" b="0"/>
          <wp:wrapSquare wrapText="bothSides"/>
          <wp:docPr id="35" name="Obrázek 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96075" cy="14916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4DC5" w:rsidRDefault="001F4DC5">
    <w:pPr>
      <w:pStyle w:val="Zhlav"/>
    </w:pPr>
    <w:r>
      <w:rPr>
        <w:noProof/>
        <w:lang w:eastAsia="cs-CZ"/>
      </w:rPr>
      <w:drawing>
        <wp:anchor distT="0" distB="0" distL="114300" distR="114300" simplePos="0" relativeHeight="251659264" behindDoc="1" locked="0" layoutInCell="1" allowOverlap="1" wp14:anchorId="2E003C5B" wp14:editId="5A184A52">
          <wp:simplePos x="0" y="0"/>
          <wp:positionH relativeFrom="column">
            <wp:posOffset>3717290</wp:posOffset>
          </wp:positionH>
          <wp:positionV relativeFrom="paragraph">
            <wp:posOffset>93980</wp:posOffset>
          </wp:positionV>
          <wp:extent cx="2171700" cy="657225"/>
          <wp:effectExtent l="0" t="0" r="0" b="9525"/>
          <wp:wrapTight wrapText="bothSides">
            <wp:wrapPolygon edited="0">
              <wp:start x="0" y="0"/>
              <wp:lineTo x="0" y="21287"/>
              <wp:lineTo x="21411" y="21287"/>
              <wp:lineTo x="21411" y="0"/>
              <wp:lineTo x="0" y="0"/>
            </wp:wrapPolygon>
          </wp:wrapTight>
          <wp:docPr id="29" name="Obrázek 29" descr="Geoinovac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oinovace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71700" cy="657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0288" behindDoc="1" locked="0" layoutInCell="1" allowOverlap="1" wp14:anchorId="70E80EC4" wp14:editId="118B7363">
          <wp:simplePos x="0" y="0"/>
          <wp:positionH relativeFrom="column">
            <wp:posOffset>579120</wp:posOffset>
          </wp:positionH>
          <wp:positionV relativeFrom="paragraph">
            <wp:posOffset>93980</wp:posOffset>
          </wp:positionV>
          <wp:extent cx="2514600" cy="600075"/>
          <wp:effectExtent l="0" t="0" r="0" b="9525"/>
          <wp:wrapTight wrapText="bothSides">
            <wp:wrapPolygon edited="0">
              <wp:start x="0" y="0"/>
              <wp:lineTo x="0" y="21257"/>
              <wp:lineTo x="21436" y="21257"/>
              <wp:lineTo x="21436" y="0"/>
              <wp:lineTo x="0" y="0"/>
            </wp:wrapPolygon>
          </wp:wrapTight>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14600" cy="60007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4F146B"/>
    <w:multiLevelType w:val="hybridMultilevel"/>
    <w:tmpl w:val="21947F84"/>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nsid w:val="07F85879"/>
    <w:multiLevelType w:val="hybridMultilevel"/>
    <w:tmpl w:val="E38644BA"/>
    <w:lvl w:ilvl="0" w:tplc="B36A9CF4">
      <w:start w:val="1"/>
      <w:numFmt w:val="bullet"/>
      <w:lvlText w:val="-"/>
      <w:lvlJc w:val="left"/>
      <w:pPr>
        <w:tabs>
          <w:tab w:val="num" w:pos="720"/>
        </w:tabs>
        <w:ind w:left="720" w:hanging="360"/>
      </w:pPr>
      <w:rPr>
        <w:rFonts w:ascii="Times New Roman" w:eastAsia="Times New Roman"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nsid w:val="0BBA1F1C"/>
    <w:multiLevelType w:val="hybridMultilevel"/>
    <w:tmpl w:val="C0C01828"/>
    <w:lvl w:ilvl="0" w:tplc="3CD057D0">
      <w:start w:val="1"/>
      <w:numFmt w:val="decimal"/>
      <w:lvlText w:val="%1."/>
      <w:lvlJc w:val="left"/>
      <w:pPr>
        <w:tabs>
          <w:tab w:val="num" w:pos="720"/>
        </w:tabs>
        <w:ind w:left="720" w:hanging="360"/>
      </w:pPr>
      <w:rPr>
        <w:rFonts w:hint="default"/>
        <w:color w:val="auto"/>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
    <w:nsid w:val="0C3634CD"/>
    <w:multiLevelType w:val="hybridMultilevel"/>
    <w:tmpl w:val="CE145C96"/>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4">
    <w:nsid w:val="0DF659C8"/>
    <w:multiLevelType w:val="hybridMultilevel"/>
    <w:tmpl w:val="1EC25EC4"/>
    <w:lvl w:ilvl="0" w:tplc="0405000F">
      <w:start w:val="1"/>
      <w:numFmt w:val="decimal"/>
      <w:lvlText w:val="%1."/>
      <w:lvlJc w:val="left"/>
      <w:pPr>
        <w:tabs>
          <w:tab w:val="num" w:pos="720"/>
        </w:tabs>
        <w:ind w:left="720" w:hanging="360"/>
      </w:p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5">
    <w:nsid w:val="11231227"/>
    <w:multiLevelType w:val="hybridMultilevel"/>
    <w:tmpl w:val="1630AE12"/>
    <w:lvl w:ilvl="0" w:tplc="04050017">
      <w:start w:val="1"/>
      <w:numFmt w:val="lowerLetter"/>
      <w:lvlText w:val="%1)"/>
      <w:lvlJc w:val="left"/>
      <w:pPr>
        <w:tabs>
          <w:tab w:val="num" w:pos="780"/>
        </w:tabs>
        <w:ind w:left="780" w:hanging="360"/>
      </w:p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6">
    <w:nsid w:val="11E81AA9"/>
    <w:multiLevelType w:val="hybridMultilevel"/>
    <w:tmpl w:val="E4403046"/>
    <w:lvl w:ilvl="0" w:tplc="48FA28D6">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133C08EE"/>
    <w:multiLevelType w:val="hybridMultilevel"/>
    <w:tmpl w:val="7ACA1710"/>
    <w:lvl w:ilvl="0" w:tplc="04050009">
      <w:start w:val="1"/>
      <w:numFmt w:val="bullet"/>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8">
    <w:nsid w:val="19EC2144"/>
    <w:multiLevelType w:val="hybridMultilevel"/>
    <w:tmpl w:val="E8605D42"/>
    <w:lvl w:ilvl="0" w:tplc="04050003">
      <w:start w:val="1"/>
      <w:numFmt w:val="bullet"/>
      <w:lvlText w:val="o"/>
      <w:lvlJc w:val="left"/>
      <w:pPr>
        <w:tabs>
          <w:tab w:val="num" w:pos="720"/>
        </w:tabs>
        <w:ind w:left="720" w:hanging="360"/>
      </w:pPr>
      <w:rPr>
        <w:rFonts w:ascii="Courier New" w:hAnsi="Courier New" w:cs="Courier New"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9">
    <w:nsid w:val="24A05812"/>
    <w:multiLevelType w:val="hybridMultilevel"/>
    <w:tmpl w:val="D2209412"/>
    <w:lvl w:ilvl="0" w:tplc="04050003">
      <w:start w:val="1"/>
      <w:numFmt w:val="bullet"/>
      <w:lvlText w:val="o"/>
      <w:lvlJc w:val="left"/>
      <w:pPr>
        <w:tabs>
          <w:tab w:val="num" w:pos="720"/>
        </w:tabs>
        <w:ind w:left="720" w:hanging="360"/>
      </w:pPr>
      <w:rPr>
        <w:rFonts w:ascii="Courier New" w:hAnsi="Courier New" w:cs="Courier New"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0">
    <w:nsid w:val="25D33E1E"/>
    <w:multiLevelType w:val="hybridMultilevel"/>
    <w:tmpl w:val="4C4C59E0"/>
    <w:lvl w:ilvl="0" w:tplc="56427AFA">
      <w:numFmt w:val="bullet"/>
      <w:lvlText w:val="-"/>
      <w:lvlJc w:val="left"/>
      <w:pPr>
        <w:tabs>
          <w:tab w:val="num" w:pos="720"/>
        </w:tabs>
        <w:ind w:left="720" w:hanging="360"/>
      </w:pPr>
      <w:rPr>
        <w:rFonts w:ascii="Times New Roman" w:eastAsia="Times New Roman"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1">
    <w:nsid w:val="27151534"/>
    <w:multiLevelType w:val="hybridMultilevel"/>
    <w:tmpl w:val="1EB0AD4C"/>
    <w:lvl w:ilvl="0" w:tplc="0405000F">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2">
    <w:nsid w:val="3104320F"/>
    <w:multiLevelType w:val="hybridMultilevel"/>
    <w:tmpl w:val="4E9E8074"/>
    <w:lvl w:ilvl="0" w:tplc="04050003">
      <w:start w:val="1"/>
      <w:numFmt w:val="bullet"/>
      <w:lvlText w:val="o"/>
      <w:lvlJc w:val="left"/>
      <w:pPr>
        <w:tabs>
          <w:tab w:val="num" w:pos="1344"/>
        </w:tabs>
        <w:ind w:left="1344" w:hanging="360"/>
      </w:pPr>
      <w:rPr>
        <w:rFonts w:ascii="Courier New" w:hAnsi="Courier New" w:cs="Courier New" w:hint="default"/>
      </w:rPr>
    </w:lvl>
    <w:lvl w:ilvl="1" w:tplc="04050003" w:tentative="1">
      <w:start w:val="1"/>
      <w:numFmt w:val="bullet"/>
      <w:lvlText w:val="o"/>
      <w:lvlJc w:val="left"/>
      <w:pPr>
        <w:tabs>
          <w:tab w:val="num" w:pos="2064"/>
        </w:tabs>
        <w:ind w:left="2064" w:hanging="360"/>
      </w:pPr>
      <w:rPr>
        <w:rFonts w:ascii="Courier New" w:hAnsi="Courier New" w:cs="Courier New" w:hint="default"/>
      </w:rPr>
    </w:lvl>
    <w:lvl w:ilvl="2" w:tplc="04050005" w:tentative="1">
      <w:start w:val="1"/>
      <w:numFmt w:val="bullet"/>
      <w:lvlText w:val=""/>
      <w:lvlJc w:val="left"/>
      <w:pPr>
        <w:tabs>
          <w:tab w:val="num" w:pos="2784"/>
        </w:tabs>
        <w:ind w:left="2784" w:hanging="360"/>
      </w:pPr>
      <w:rPr>
        <w:rFonts w:ascii="Wingdings" w:hAnsi="Wingdings" w:hint="default"/>
      </w:rPr>
    </w:lvl>
    <w:lvl w:ilvl="3" w:tplc="04050001" w:tentative="1">
      <w:start w:val="1"/>
      <w:numFmt w:val="bullet"/>
      <w:lvlText w:val=""/>
      <w:lvlJc w:val="left"/>
      <w:pPr>
        <w:tabs>
          <w:tab w:val="num" w:pos="3504"/>
        </w:tabs>
        <w:ind w:left="3504" w:hanging="360"/>
      </w:pPr>
      <w:rPr>
        <w:rFonts w:ascii="Symbol" w:hAnsi="Symbol" w:hint="default"/>
      </w:rPr>
    </w:lvl>
    <w:lvl w:ilvl="4" w:tplc="04050003" w:tentative="1">
      <w:start w:val="1"/>
      <w:numFmt w:val="bullet"/>
      <w:lvlText w:val="o"/>
      <w:lvlJc w:val="left"/>
      <w:pPr>
        <w:tabs>
          <w:tab w:val="num" w:pos="4224"/>
        </w:tabs>
        <w:ind w:left="4224" w:hanging="360"/>
      </w:pPr>
      <w:rPr>
        <w:rFonts w:ascii="Courier New" w:hAnsi="Courier New" w:cs="Courier New" w:hint="default"/>
      </w:rPr>
    </w:lvl>
    <w:lvl w:ilvl="5" w:tplc="04050005" w:tentative="1">
      <w:start w:val="1"/>
      <w:numFmt w:val="bullet"/>
      <w:lvlText w:val=""/>
      <w:lvlJc w:val="left"/>
      <w:pPr>
        <w:tabs>
          <w:tab w:val="num" w:pos="4944"/>
        </w:tabs>
        <w:ind w:left="4944" w:hanging="360"/>
      </w:pPr>
      <w:rPr>
        <w:rFonts w:ascii="Wingdings" w:hAnsi="Wingdings" w:hint="default"/>
      </w:rPr>
    </w:lvl>
    <w:lvl w:ilvl="6" w:tplc="04050001" w:tentative="1">
      <w:start w:val="1"/>
      <w:numFmt w:val="bullet"/>
      <w:lvlText w:val=""/>
      <w:lvlJc w:val="left"/>
      <w:pPr>
        <w:tabs>
          <w:tab w:val="num" w:pos="5664"/>
        </w:tabs>
        <w:ind w:left="5664" w:hanging="360"/>
      </w:pPr>
      <w:rPr>
        <w:rFonts w:ascii="Symbol" w:hAnsi="Symbol" w:hint="default"/>
      </w:rPr>
    </w:lvl>
    <w:lvl w:ilvl="7" w:tplc="04050003" w:tentative="1">
      <w:start w:val="1"/>
      <w:numFmt w:val="bullet"/>
      <w:lvlText w:val="o"/>
      <w:lvlJc w:val="left"/>
      <w:pPr>
        <w:tabs>
          <w:tab w:val="num" w:pos="6384"/>
        </w:tabs>
        <w:ind w:left="6384" w:hanging="360"/>
      </w:pPr>
      <w:rPr>
        <w:rFonts w:ascii="Courier New" w:hAnsi="Courier New" w:cs="Courier New" w:hint="default"/>
      </w:rPr>
    </w:lvl>
    <w:lvl w:ilvl="8" w:tplc="04050005" w:tentative="1">
      <w:start w:val="1"/>
      <w:numFmt w:val="bullet"/>
      <w:lvlText w:val=""/>
      <w:lvlJc w:val="left"/>
      <w:pPr>
        <w:tabs>
          <w:tab w:val="num" w:pos="7104"/>
        </w:tabs>
        <w:ind w:left="7104" w:hanging="360"/>
      </w:pPr>
      <w:rPr>
        <w:rFonts w:ascii="Wingdings" w:hAnsi="Wingdings" w:hint="default"/>
      </w:rPr>
    </w:lvl>
  </w:abstractNum>
  <w:abstractNum w:abstractNumId="13">
    <w:nsid w:val="3D5D4DD5"/>
    <w:multiLevelType w:val="hybridMultilevel"/>
    <w:tmpl w:val="7402DE22"/>
    <w:lvl w:ilvl="0" w:tplc="69F6975E">
      <w:numFmt w:val="bullet"/>
      <w:lvlText w:val="-"/>
      <w:lvlJc w:val="left"/>
      <w:pPr>
        <w:tabs>
          <w:tab w:val="num" w:pos="1065"/>
        </w:tabs>
        <w:ind w:left="1065" w:hanging="360"/>
      </w:pPr>
      <w:rPr>
        <w:rFonts w:ascii="Times New Roman" w:eastAsia="Times New Roman" w:hAnsi="Times New Roman" w:cs="Times New Roman" w:hint="default"/>
      </w:rPr>
    </w:lvl>
    <w:lvl w:ilvl="1" w:tplc="04050003" w:tentative="1">
      <w:start w:val="1"/>
      <w:numFmt w:val="bullet"/>
      <w:lvlText w:val="o"/>
      <w:lvlJc w:val="left"/>
      <w:pPr>
        <w:tabs>
          <w:tab w:val="num" w:pos="1785"/>
        </w:tabs>
        <w:ind w:left="1785" w:hanging="360"/>
      </w:pPr>
      <w:rPr>
        <w:rFonts w:ascii="Courier New" w:hAnsi="Courier New" w:hint="default"/>
      </w:rPr>
    </w:lvl>
    <w:lvl w:ilvl="2" w:tplc="04050005" w:tentative="1">
      <w:start w:val="1"/>
      <w:numFmt w:val="bullet"/>
      <w:lvlText w:val=""/>
      <w:lvlJc w:val="left"/>
      <w:pPr>
        <w:tabs>
          <w:tab w:val="num" w:pos="2505"/>
        </w:tabs>
        <w:ind w:left="2505" w:hanging="360"/>
      </w:pPr>
      <w:rPr>
        <w:rFonts w:ascii="Wingdings" w:hAnsi="Wingdings" w:hint="default"/>
      </w:rPr>
    </w:lvl>
    <w:lvl w:ilvl="3" w:tplc="04050001" w:tentative="1">
      <w:start w:val="1"/>
      <w:numFmt w:val="bullet"/>
      <w:lvlText w:val=""/>
      <w:lvlJc w:val="left"/>
      <w:pPr>
        <w:tabs>
          <w:tab w:val="num" w:pos="3225"/>
        </w:tabs>
        <w:ind w:left="3225" w:hanging="360"/>
      </w:pPr>
      <w:rPr>
        <w:rFonts w:ascii="Symbol" w:hAnsi="Symbol" w:hint="default"/>
      </w:rPr>
    </w:lvl>
    <w:lvl w:ilvl="4" w:tplc="04050003" w:tentative="1">
      <w:start w:val="1"/>
      <w:numFmt w:val="bullet"/>
      <w:lvlText w:val="o"/>
      <w:lvlJc w:val="left"/>
      <w:pPr>
        <w:tabs>
          <w:tab w:val="num" w:pos="3945"/>
        </w:tabs>
        <w:ind w:left="3945" w:hanging="360"/>
      </w:pPr>
      <w:rPr>
        <w:rFonts w:ascii="Courier New" w:hAnsi="Courier New" w:hint="default"/>
      </w:rPr>
    </w:lvl>
    <w:lvl w:ilvl="5" w:tplc="04050005" w:tentative="1">
      <w:start w:val="1"/>
      <w:numFmt w:val="bullet"/>
      <w:lvlText w:val=""/>
      <w:lvlJc w:val="left"/>
      <w:pPr>
        <w:tabs>
          <w:tab w:val="num" w:pos="4665"/>
        </w:tabs>
        <w:ind w:left="4665" w:hanging="360"/>
      </w:pPr>
      <w:rPr>
        <w:rFonts w:ascii="Wingdings" w:hAnsi="Wingdings" w:hint="default"/>
      </w:rPr>
    </w:lvl>
    <w:lvl w:ilvl="6" w:tplc="04050001" w:tentative="1">
      <w:start w:val="1"/>
      <w:numFmt w:val="bullet"/>
      <w:lvlText w:val=""/>
      <w:lvlJc w:val="left"/>
      <w:pPr>
        <w:tabs>
          <w:tab w:val="num" w:pos="5385"/>
        </w:tabs>
        <w:ind w:left="5385" w:hanging="360"/>
      </w:pPr>
      <w:rPr>
        <w:rFonts w:ascii="Symbol" w:hAnsi="Symbol" w:hint="default"/>
      </w:rPr>
    </w:lvl>
    <w:lvl w:ilvl="7" w:tplc="04050003" w:tentative="1">
      <w:start w:val="1"/>
      <w:numFmt w:val="bullet"/>
      <w:lvlText w:val="o"/>
      <w:lvlJc w:val="left"/>
      <w:pPr>
        <w:tabs>
          <w:tab w:val="num" w:pos="6105"/>
        </w:tabs>
        <w:ind w:left="6105" w:hanging="360"/>
      </w:pPr>
      <w:rPr>
        <w:rFonts w:ascii="Courier New" w:hAnsi="Courier New" w:hint="default"/>
      </w:rPr>
    </w:lvl>
    <w:lvl w:ilvl="8" w:tplc="04050005" w:tentative="1">
      <w:start w:val="1"/>
      <w:numFmt w:val="bullet"/>
      <w:lvlText w:val=""/>
      <w:lvlJc w:val="left"/>
      <w:pPr>
        <w:tabs>
          <w:tab w:val="num" w:pos="6825"/>
        </w:tabs>
        <w:ind w:left="6825" w:hanging="360"/>
      </w:pPr>
      <w:rPr>
        <w:rFonts w:ascii="Wingdings" w:hAnsi="Wingdings" w:hint="default"/>
      </w:rPr>
    </w:lvl>
  </w:abstractNum>
  <w:abstractNum w:abstractNumId="14">
    <w:nsid w:val="3DB46FA4"/>
    <w:multiLevelType w:val="hybridMultilevel"/>
    <w:tmpl w:val="66703274"/>
    <w:lvl w:ilvl="0" w:tplc="5F082E04">
      <w:start w:val="1"/>
      <w:numFmt w:val="decimal"/>
      <w:lvlText w:val="%1)"/>
      <w:lvlJc w:val="left"/>
      <w:pPr>
        <w:tabs>
          <w:tab w:val="num" w:pos="791"/>
        </w:tabs>
        <w:ind w:left="782" w:hanging="351"/>
      </w:pPr>
      <w:rPr>
        <w:rFonts w:ascii="Times New Roman" w:hAnsi="Times New Roman" w:hint="default"/>
        <w:b w:val="0"/>
        <w:i w:val="0"/>
        <w:color w:val="auto"/>
        <w:sz w:val="22"/>
      </w:rPr>
    </w:lvl>
    <w:lvl w:ilvl="1" w:tplc="04050019" w:tentative="1">
      <w:start w:val="1"/>
      <w:numFmt w:val="lowerLetter"/>
      <w:lvlText w:val="%2."/>
      <w:lvlJc w:val="left"/>
      <w:pPr>
        <w:tabs>
          <w:tab w:val="num" w:pos="1800"/>
        </w:tabs>
        <w:ind w:left="1800" w:hanging="360"/>
      </w:pPr>
    </w:lvl>
    <w:lvl w:ilvl="2" w:tplc="0405001B" w:tentative="1">
      <w:start w:val="1"/>
      <w:numFmt w:val="lowerRoman"/>
      <w:lvlText w:val="%3."/>
      <w:lvlJc w:val="right"/>
      <w:pPr>
        <w:tabs>
          <w:tab w:val="num" w:pos="2520"/>
        </w:tabs>
        <w:ind w:left="2520" w:hanging="180"/>
      </w:pPr>
    </w:lvl>
    <w:lvl w:ilvl="3" w:tplc="0405000F" w:tentative="1">
      <w:start w:val="1"/>
      <w:numFmt w:val="decimal"/>
      <w:lvlText w:val="%4."/>
      <w:lvlJc w:val="left"/>
      <w:pPr>
        <w:tabs>
          <w:tab w:val="num" w:pos="3240"/>
        </w:tabs>
        <w:ind w:left="3240" w:hanging="360"/>
      </w:pPr>
    </w:lvl>
    <w:lvl w:ilvl="4" w:tplc="04050019" w:tentative="1">
      <w:start w:val="1"/>
      <w:numFmt w:val="lowerLetter"/>
      <w:lvlText w:val="%5."/>
      <w:lvlJc w:val="left"/>
      <w:pPr>
        <w:tabs>
          <w:tab w:val="num" w:pos="3960"/>
        </w:tabs>
        <w:ind w:left="3960" w:hanging="360"/>
      </w:pPr>
    </w:lvl>
    <w:lvl w:ilvl="5" w:tplc="0405001B" w:tentative="1">
      <w:start w:val="1"/>
      <w:numFmt w:val="lowerRoman"/>
      <w:lvlText w:val="%6."/>
      <w:lvlJc w:val="right"/>
      <w:pPr>
        <w:tabs>
          <w:tab w:val="num" w:pos="4680"/>
        </w:tabs>
        <w:ind w:left="4680" w:hanging="180"/>
      </w:pPr>
    </w:lvl>
    <w:lvl w:ilvl="6" w:tplc="0405000F" w:tentative="1">
      <w:start w:val="1"/>
      <w:numFmt w:val="decimal"/>
      <w:lvlText w:val="%7."/>
      <w:lvlJc w:val="left"/>
      <w:pPr>
        <w:tabs>
          <w:tab w:val="num" w:pos="5400"/>
        </w:tabs>
        <w:ind w:left="5400" w:hanging="360"/>
      </w:pPr>
    </w:lvl>
    <w:lvl w:ilvl="7" w:tplc="04050019" w:tentative="1">
      <w:start w:val="1"/>
      <w:numFmt w:val="lowerLetter"/>
      <w:lvlText w:val="%8."/>
      <w:lvlJc w:val="left"/>
      <w:pPr>
        <w:tabs>
          <w:tab w:val="num" w:pos="6120"/>
        </w:tabs>
        <w:ind w:left="6120" w:hanging="360"/>
      </w:pPr>
    </w:lvl>
    <w:lvl w:ilvl="8" w:tplc="0405001B" w:tentative="1">
      <w:start w:val="1"/>
      <w:numFmt w:val="lowerRoman"/>
      <w:lvlText w:val="%9."/>
      <w:lvlJc w:val="right"/>
      <w:pPr>
        <w:tabs>
          <w:tab w:val="num" w:pos="6840"/>
        </w:tabs>
        <w:ind w:left="6840" w:hanging="180"/>
      </w:pPr>
    </w:lvl>
  </w:abstractNum>
  <w:abstractNum w:abstractNumId="15">
    <w:nsid w:val="3DE360D8"/>
    <w:multiLevelType w:val="hybridMultilevel"/>
    <w:tmpl w:val="60E8FB20"/>
    <w:lvl w:ilvl="0" w:tplc="04050003">
      <w:start w:val="1"/>
      <w:numFmt w:val="bullet"/>
      <w:lvlText w:val="o"/>
      <w:lvlJc w:val="left"/>
      <w:pPr>
        <w:tabs>
          <w:tab w:val="num" w:pos="720"/>
        </w:tabs>
        <w:ind w:left="720" w:hanging="360"/>
      </w:pPr>
      <w:rPr>
        <w:rFonts w:ascii="Courier New" w:hAnsi="Courier New" w:cs="Courier New"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6">
    <w:nsid w:val="3EAB5C4D"/>
    <w:multiLevelType w:val="hybridMultilevel"/>
    <w:tmpl w:val="4C98B800"/>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7">
    <w:nsid w:val="456B54E4"/>
    <w:multiLevelType w:val="hybridMultilevel"/>
    <w:tmpl w:val="7930CBA4"/>
    <w:lvl w:ilvl="0" w:tplc="04050001">
      <w:start w:val="1"/>
      <w:numFmt w:val="bullet"/>
      <w:lvlText w:val=""/>
      <w:lvlJc w:val="left"/>
      <w:pPr>
        <w:tabs>
          <w:tab w:val="num" w:pos="1080"/>
        </w:tabs>
        <w:ind w:left="1080" w:hanging="360"/>
      </w:pPr>
      <w:rPr>
        <w:rFonts w:ascii="Symbol" w:hAnsi="Symbol" w:hint="default"/>
      </w:rPr>
    </w:lvl>
    <w:lvl w:ilvl="1" w:tplc="04050003" w:tentative="1">
      <w:start w:val="1"/>
      <w:numFmt w:val="bullet"/>
      <w:lvlText w:val="o"/>
      <w:lvlJc w:val="left"/>
      <w:pPr>
        <w:tabs>
          <w:tab w:val="num" w:pos="1800"/>
        </w:tabs>
        <w:ind w:left="1800" w:hanging="360"/>
      </w:pPr>
      <w:rPr>
        <w:rFonts w:ascii="Courier New" w:hAnsi="Courier New" w:cs="Courier New" w:hint="default"/>
      </w:rPr>
    </w:lvl>
    <w:lvl w:ilvl="2" w:tplc="04050005" w:tentative="1">
      <w:start w:val="1"/>
      <w:numFmt w:val="bullet"/>
      <w:lvlText w:val=""/>
      <w:lvlJc w:val="left"/>
      <w:pPr>
        <w:tabs>
          <w:tab w:val="num" w:pos="2520"/>
        </w:tabs>
        <w:ind w:left="2520" w:hanging="360"/>
      </w:pPr>
      <w:rPr>
        <w:rFonts w:ascii="Wingdings" w:hAnsi="Wingdings" w:hint="default"/>
      </w:rPr>
    </w:lvl>
    <w:lvl w:ilvl="3" w:tplc="04050001" w:tentative="1">
      <w:start w:val="1"/>
      <w:numFmt w:val="bullet"/>
      <w:lvlText w:val=""/>
      <w:lvlJc w:val="left"/>
      <w:pPr>
        <w:tabs>
          <w:tab w:val="num" w:pos="3240"/>
        </w:tabs>
        <w:ind w:left="3240" w:hanging="360"/>
      </w:pPr>
      <w:rPr>
        <w:rFonts w:ascii="Symbol" w:hAnsi="Symbol" w:hint="default"/>
      </w:rPr>
    </w:lvl>
    <w:lvl w:ilvl="4" w:tplc="04050003" w:tentative="1">
      <w:start w:val="1"/>
      <w:numFmt w:val="bullet"/>
      <w:lvlText w:val="o"/>
      <w:lvlJc w:val="left"/>
      <w:pPr>
        <w:tabs>
          <w:tab w:val="num" w:pos="3960"/>
        </w:tabs>
        <w:ind w:left="3960" w:hanging="360"/>
      </w:pPr>
      <w:rPr>
        <w:rFonts w:ascii="Courier New" w:hAnsi="Courier New" w:cs="Courier New" w:hint="default"/>
      </w:rPr>
    </w:lvl>
    <w:lvl w:ilvl="5" w:tplc="04050005" w:tentative="1">
      <w:start w:val="1"/>
      <w:numFmt w:val="bullet"/>
      <w:lvlText w:val=""/>
      <w:lvlJc w:val="left"/>
      <w:pPr>
        <w:tabs>
          <w:tab w:val="num" w:pos="4680"/>
        </w:tabs>
        <w:ind w:left="4680" w:hanging="360"/>
      </w:pPr>
      <w:rPr>
        <w:rFonts w:ascii="Wingdings" w:hAnsi="Wingdings" w:hint="default"/>
      </w:rPr>
    </w:lvl>
    <w:lvl w:ilvl="6" w:tplc="04050001" w:tentative="1">
      <w:start w:val="1"/>
      <w:numFmt w:val="bullet"/>
      <w:lvlText w:val=""/>
      <w:lvlJc w:val="left"/>
      <w:pPr>
        <w:tabs>
          <w:tab w:val="num" w:pos="5400"/>
        </w:tabs>
        <w:ind w:left="5400" w:hanging="360"/>
      </w:pPr>
      <w:rPr>
        <w:rFonts w:ascii="Symbol" w:hAnsi="Symbol" w:hint="default"/>
      </w:rPr>
    </w:lvl>
    <w:lvl w:ilvl="7" w:tplc="04050003" w:tentative="1">
      <w:start w:val="1"/>
      <w:numFmt w:val="bullet"/>
      <w:lvlText w:val="o"/>
      <w:lvlJc w:val="left"/>
      <w:pPr>
        <w:tabs>
          <w:tab w:val="num" w:pos="6120"/>
        </w:tabs>
        <w:ind w:left="6120" w:hanging="360"/>
      </w:pPr>
      <w:rPr>
        <w:rFonts w:ascii="Courier New" w:hAnsi="Courier New" w:cs="Courier New" w:hint="default"/>
      </w:rPr>
    </w:lvl>
    <w:lvl w:ilvl="8" w:tplc="04050005" w:tentative="1">
      <w:start w:val="1"/>
      <w:numFmt w:val="bullet"/>
      <w:lvlText w:val=""/>
      <w:lvlJc w:val="left"/>
      <w:pPr>
        <w:tabs>
          <w:tab w:val="num" w:pos="6840"/>
        </w:tabs>
        <w:ind w:left="6840" w:hanging="360"/>
      </w:pPr>
      <w:rPr>
        <w:rFonts w:ascii="Wingdings" w:hAnsi="Wingdings" w:hint="default"/>
      </w:rPr>
    </w:lvl>
  </w:abstractNum>
  <w:abstractNum w:abstractNumId="18">
    <w:nsid w:val="5AFB0D9E"/>
    <w:multiLevelType w:val="hybridMultilevel"/>
    <w:tmpl w:val="1D3AB96E"/>
    <w:lvl w:ilvl="0" w:tplc="32AC7398">
      <w:start w:val="1"/>
      <w:numFmt w:val="bullet"/>
      <w:lvlText w:val="•"/>
      <w:lvlJc w:val="left"/>
      <w:pPr>
        <w:tabs>
          <w:tab w:val="num" w:pos="720"/>
        </w:tabs>
        <w:ind w:left="720" w:hanging="360"/>
      </w:pPr>
      <w:rPr>
        <w:rFonts w:ascii="Times New Roman" w:hAnsi="Times New Roman" w:hint="default"/>
      </w:rPr>
    </w:lvl>
    <w:lvl w:ilvl="1" w:tplc="16A037DA" w:tentative="1">
      <w:start w:val="1"/>
      <w:numFmt w:val="bullet"/>
      <w:lvlText w:val="•"/>
      <w:lvlJc w:val="left"/>
      <w:pPr>
        <w:tabs>
          <w:tab w:val="num" w:pos="1440"/>
        </w:tabs>
        <w:ind w:left="1440" w:hanging="360"/>
      </w:pPr>
      <w:rPr>
        <w:rFonts w:ascii="Times New Roman" w:hAnsi="Times New Roman" w:hint="default"/>
      </w:rPr>
    </w:lvl>
    <w:lvl w:ilvl="2" w:tplc="35567B9C" w:tentative="1">
      <w:start w:val="1"/>
      <w:numFmt w:val="bullet"/>
      <w:lvlText w:val="•"/>
      <w:lvlJc w:val="left"/>
      <w:pPr>
        <w:tabs>
          <w:tab w:val="num" w:pos="2160"/>
        </w:tabs>
        <w:ind w:left="2160" w:hanging="360"/>
      </w:pPr>
      <w:rPr>
        <w:rFonts w:ascii="Times New Roman" w:hAnsi="Times New Roman" w:hint="default"/>
      </w:rPr>
    </w:lvl>
    <w:lvl w:ilvl="3" w:tplc="71903E30" w:tentative="1">
      <w:start w:val="1"/>
      <w:numFmt w:val="bullet"/>
      <w:lvlText w:val="•"/>
      <w:lvlJc w:val="left"/>
      <w:pPr>
        <w:tabs>
          <w:tab w:val="num" w:pos="2880"/>
        </w:tabs>
        <w:ind w:left="2880" w:hanging="360"/>
      </w:pPr>
      <w:rPr>
        <w:rFonts w:ascii="Times New Roman" w:hAnsi="Times New Roman" w:hint="default"/>
      </w:rPr>
    </w:lvl>
    <w:lvl w:ilvl="4" w:tplc="24F07304" w:tentative="1">
      <w:start w:val="1"/>
      <w:numFmt w:val="bullet"/>
      <w:lvlText w:val="•"/>
      <w:lvlJc w:val="left"/>
      <w:pPr>
        <w:tabs>
          <w:tab w:val="num" w:pos="3600"/>
        </w:tabs>
        <w:ind w:left="3600" w:hanging="360"/>
      </w:pPr>
      <w:rPr>
        <w:rFonts w:ascii="Times New Roman" w:hAnsi="Times New Roman" w:hint="default"/>
      </w:rPr>
    </w:lvl>
    <w:lvl w:ilvl="5" w:tplc="D6B6BD5A" w:tentative="1">
      <w:start w:val="1"/>
      <w:numFmt w:val="bullet"/>
      <w:lvlText w:val="•"/>
      <w:lvlJc w:val="left"/>
      <w:pPr>
        <w:tabs>
          <w:tab w:val="num" w:pos="4320"/>
        </w:tabs>
        <w:ind w:left="4320" w:hanging="360"/>
      </w:pPr>
      <w:rPr>
        <w:rFonts w:ascii="Times New Roman" w:hAnsi="Times New Roman" w:hint="default"/>
      </w:rPr>
    </w:lvl>
    <w:lvl w:ilvl="6" w:tplc="A1F019D2" w:tentative="1">
      <w:start w:val="1"/>
      <w:numFmt w:val="bullet"/>
      <w:lvlText w:val="•"/>
      <w:lvlJc w:val="left"/>
      <w:pPr>
        <w:tabs>
          <w:tab w:val="num" w:pos="5040"/>
        </w:tabs>
        <w:ind w:left="5040" w:hanging="360"/>
      </w:pPr>
      <w:rPr>
        <w:rFonts w:ascii="Times New Roman" w:hAnsi="Times New Roman" w:hint="default"/>
      </w:rPr>
    </w:lvl>
    <w:lvl w:ilvl="7" w:tplc="05FA8BCA" w:tentative="1">
      <w:start w:val="1"/>
      <w:numFmt w:val="bullet"/>
      <w:lvlText w:val="•"/>
      <w:lvlJc w:val="left"/>
      <w:pPr>
        <w:tabs>
          <w:tab w:val="num" w:pos="5760"/>
        </w:tabs>
        <w:ind w:left="5760" w:hanging="360"/>
      </w:pPr>
      <w:rPr>
        <w:rFonts w:ascii="Times New Roman" w:hAnsi="Times New Roman" w:hint="default"/>
      </w:rPr>
    </w:lvl>
    <w:lvl w:ilvl="8" w:tplc="52260824" w:tentative="1">
      <w:start w:val="1"/>
      <w:numFmt w:val="bullet"/>
      <w:lvlText w:val="•"/>
      <w:lvlJc w:val="left"/>
      <w:pPr>
        <w:tabs>
          <w:tab w:val="num" w:pos="6480"/>
        </w:tabs>
        <w:ind w:left="6480" w:hanging="360"/>
      </w:pPr>
      <w:rPr>
        <w:rFonts w:ascii="Times New Roman" w:hAnsi="Times New Roman" w:hint="default"/>
      </w:rPr>
    </w:lvl>
  </w:abstractNum>
  <w:abstractNum w:abstractNumId="19">
    <w:nsid w:val="5D0429CD"/>
    <w:multiLevelType w:val="hybridMultilevel"/>
    <w:tmpl w:val="8FB6A99A"/>
    <w:lvl w:ilvl="0" w:tplc="9B4A0520">
      <w:start w:val="1"/>
      <w:numFmt w:val="bullet"/>
      <w:lvlText w:val="o"/>
      <w:lvlJc w:val="left"/>
      <w:pPr>
        <w:tabs>
          <w:tab w:val="num" w:pos="567"/>
        </w:tabs>
        <w:ind w:left="567" w:hanging="340"/>
      </w:pPr>
      <w:rPr>
        <w:rFonts w:ascii="Courier New" w:hAnsi="Courier New"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0">
    <w:nsid w:val="5EDE2C55"/>
    <w:multiLevelType w:val="hybridMultilevel"/>
    <w:tmpl w:val="BFA24786"/>
    <w:lvl w:ilvl="0" w:tplc="56427AFA">
      <w:numFmt w:val="bullet"/>
      <w:lvlText w:val="-"/>
      <w:lvlJc w:val="left"/>
      <w:pPr>
        <w:tabs>
          <w:tab w:val="num" w:pos="720"/>
        </w:tabs>
        <w:ind w:left="720" w:hanging="360"/>
      </w:pPr>
      <w:rPr>
        <w:rFonts w:ascii="Times New Roman" w:eastAsia="Times New Roman"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1">
    <w:nsid w:val="6B6B2C31"/>
    <w:multiLevelType w:val="hybridMultilevel"/>
    <w:tmpl w:val="1AAC7F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6BAE3462"/>
    <w:multiLevelType w:val="hybridMultilevel"/>
    <w:tmpl w:val="C5A857A6"/>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3">
    <w:nsid w:val="76527DCE"/>
    <w:multiLevelType w:val="multilevel"/>
    <w:tmpl w:val="15E8D22E"/>
    <w:lvl w:ilvl="0">
      <w:start w:val="1"/>
      <w:numFmt w:val="decimal"/>
      <w:lvlText w:val="%1."/>
      <w:lvlJc w:val="left"/>
      <w:pPr>
        <w:tabs>
          <w:tab w:val="num" w:pos="720"/>
        </w:tabs>
        <w:ind w:left="720" w:hanging="360"/>
      </w:pPr>
      <w:rPr>
        <w:b w:val="0"/>
        <w:i w:val="0"/>
        <w:color w:val="auto"/>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779C5E6E"/>
    <w:multiLevelType w:val="hybridMultilevel"/>
    <w:tmpl w:val="B950C320"/>
    <w:lvl w:ilvl="0" w:tplc="C9AA1C02">
      <w:numFmt w:val="bullet"/>
      <w:lvlText w:val="-"/>
      <w:lvlJc w:val="left"/>
      <w:pPr>
        <w:tabs>
          <w:tab w:val="num" w:pos="720"/>
        </w:tabs>
        <w:ind w:left="720" w:hanging="360"/>
      </w:pPr>
      <w:rPr>
        <w:rFonts w:ascii="Times New Roman" w:eastAsia="Times New Roman"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5">
    <w:nsid w:val="77B768D8"/>
    <w:multiLevelType w:val="multilevel"/>
    <w:tmpl w:val="4BDED3E0"/>
    <w:lvl w:ilvl="0">
      <w:start w:val="1"/>
      <w:numFmt w:val="decimal"/>
      <w:lvlText w:val="%1"/>
      <w:lvlJc w:val="left"/>
      <w:pPr>
        <w:tabs>
          <w:tab w:val="num" w:pos="432"/>
        </w:tabs>
        <w:ind w:left="432" w:hanging="432"/>
      </w:pPr>
      <w:rPr>
        <w:rFonts w:hint="default"/>
      </w:rPr>
    </w:lvl>
    <w:lvl w:ilvl="1">
      <w:start w:val="1"/>
      <w:numFmt w:val="decimal"/>
      <w:pStyle w:val="Nadpis2"/>
      <w:lvlText w:val="%1.%2"/>
      <w:lvlJc w:val="left"/>
      <w:pPr>
        <w:tabs>
          <w:tab w:val="num" w:pos="576"/>
        </w:tabs>
        <w:ind w:left="576" w:hanging="576"/>
      </w:pPr>
      <w:rPr>
        <w:rFonts w:hint="default"/>
      </w:rPr>
    </w:lvl>
    <w:lvl w:ilvl="2">
      <w:start w:val="1"/>
      <w:numFmt w:val="decimal"/>
      <w:pStyle w:val="Nadpis3"/>
      <w:lvlText w:val="%1.%2.%3"/>
      <w:lvlJc w:val="left"/>
      <w:pPr>
        <w:tabs>
          <w:tab w:val="num" w:pos="1571"/>
        </w:tabs>
        <w:ind w:left="1571" w:hanging="720"/>
      </w:pPr>
      <w:rPr>
        <w:rFonts w:hint="default"/>
      </w:rPr>
    </w:lvl>
    <w:lvl w:ilvl="3">
      <w:start w:val="1"/>
      <w:numFmt w:val="decimal"/>
      <w:pStyle w:val="Nadpis4"/>
      <w:lvlText w:val="%1.%2.%3.%4"/>
      <w:lvlJc w:val="left"/>
      <w:pPr>
        <w:tabs>
          <w:tab w:val="num" w:pos="864"/>
        </w:tabs>
        <w:ind w:left="864" w:hanging="864"/>
      </w:pPr>
      <w:rPr>
        <w:rFonts w:hint="default"/>
      </w:rPr>
    </w:lvl>
    <w:lvl w:ilvl="4">
      <w:start w:val="1"/>
      <w:numFmt w:val="decimal"/>
      <w:pStyle w:val="Nadpis5"/>
      <w:lvlText w:val="%1.%2.%3.%4.%5"/>
      <w:lvlJc w:val="left"/>
      <w:pPr>
        <w:tabs>
          <w:tab w:val="num" w:pos="1008"/>
        </w:tabs>
        <w:ind w:left="1008" w:hanging="1008"/>
      </w:pPr>
      <w:rPr>
        <w:rFonts w:hint="default"/>
      </w:rPr>
    </w:lvl>
    <w:lvl w:ilvl="5">
      <w:start w:val="1"/>
      <w:numFmt w:val="decimal"/>
      <w:pStyle w:val="Nadpis6"/>
      <w:lvlText w:val="%1.%2.%3.%4.%5.%6"/>
      <w:lvlJc w:val="left"/>
      <w:pPr>
        <w:tabs>
          <w:tab w:val="num" w:pos="1152"/>
        </w:tabs>
        <w:ind w:left="1152" w:hanging="1152"/>
      </w:pPr>
      <w:rPr>
        <w:rFonts w:hint="default"/>
      </w:rPr>
    </w:lvl>
    <w:lvl w:ilvl="6">
      <w:start w:val="1"/>
      <w:numFmt w:val="decimal"/>
      <w:pStyle w:val="Nadpis7"/>
      <w:lvlText w:val="%1.%2.%3.%4.%5.%6.%7"/>
      <w:lvlJc w:val="left"/>
      <w:pPr>
        <w:tabs>
          <w:tab w:val="num" w:pos="1296"/>
        </w:tabs>
        <w:ind w:left="1296" w:hanging="1296"/>
      </w:pPr>
      <w:rPr>
        <w:rFonts w:hint="default"/>
      </w:rPr>
    </w:lvl>
    <w:lvl w:ilvl="7">
      <w:start w:val="1"/>
      <w:numFmt w:val="decimal"/>
      <w:pStyle w:val="Nadpis8"/>
      <w:lvlText w:val="%1.%2.%3.%4.%5.%6.%7.%8"/>
      <w:lvlJc w:val="left"/>
      <w:pPr>
        <w:tabs>
          <w:tab w:val="num" w:pos="1440"/>
        </w:tabs>
        <w:ind w:left="1440" w:hanging="1440"/>
      </w:pPr>
      <w:rPr>
        <w:rFonts w:hint="default"/>
      </w:rPr>
    </w:lvl>
    <w:lvl w:ilvl="8">
      <w:start w:val="1"/>
      <w:numFmt w:val="decimal"/>
      <w:pStyle w:val="Nadpis9"/>
      <w:lvlText w:val="%1.%2.%3.%4.%5.%6.%7.%8.%9"/>
      <w:lvlJc w:val="left"/>
      <w:pPr>
        <w:tabs>
          <w:tab w:val="num" w:pos="1584"/>
        </w:tabs>
        <w:ind w:left="1584" w:hanging="1584"/>
      </w:pPr>
      <w:rPr>
        <w:rFonts w:hint="default"/>
      </w:rPr>
    </w:lvl>
  </w:abstractNum>
  <w:abstractNum w:abstractNumId="26">
    <w:nsid w:val="787F6B9C"/>
    <w:multiLevelType w:val="hybridMultilevel"/>
    <w:tmpl w:val="0CA222E4"/>
    <w:lvl w:ilvl="0" w:tplc="0EB6C4BA">
      <w:start w:val="1"/>
      <w:numFmt w:val="bullet"/>
      <w:lvlText w:val="•"/>
      <w:lvlJc w:val="left"/>
      <w:pPr>
        <w:tabs>
          <w:tab w:val="num" w:pos="720"/>
        </w:tabs>
        <w:ind w:left="720" w:hanging="360"/>
      </w:pPr>
      <w:rPr>
        <w:rFonts w:ascii="Times New Roman" w:hAnsi="Times New Roman" w:hint="default"/>
      </w:rPr>
    </w:lvl>
    <w:lvl w:ilvl="1" w:tplc="ABB2692C">
      <w:start w:val="1"/>
      <w:numFmt w:val="decimal"/>
      <w:lvlText w:val="%2."/>
      <w:lvlJc w:val="left"/>
      <w:pPr>
        <w:tabs>
          <w:tab w:val="num" w:pos="1440"/>
        </w:tabs>
        <w:ind w:left="1440" w:hanging="360"/>
      </w:pPr>
    </w:lvl>
    <w:lvl w:ilvl="2" w:tplc="5A865D96" w:tentative="1">
      <w:start w:val="1"/>
      <w:numFmt w:val="bullet"/>
      <w:lvlText w:val="•"/>
      <w:lvlJc w:val="left"/>
      <w:pPr>
        <w:tabs>
          <w:tab w:val="num" w:pos="2160"/>
        </w:tabs>
        <w:ind w:left="2160" w:hanging="360"/>
      </w:pPr>
      <w:rPr>
        <w:rFonts w:ascii="Times New Roman" w:hAnsi="Times New Roman" w:hint="default"/>
      </w:rPr>
    </w:lvl>
    <w:lvl w:ilvl="3" w:tplc="D0721CCE" w:tentative="1">
      <w:start w:val="1"/>
      <w:numFmt w:val="bullet"/>
      <w:lvlText w:val="•"/>
      <w:lvlJc w:val="left"/>
      <w:pPr>
        <w:tabs>
          <w:tab w:val="num" w:pos="2880"/>
        </w:tabs>
        <w:ind w:left="2880" w:hanging="360"/>
      </w:pPr>
      <w:rPr>
        <w:rFonts w:ascii="Times New Roman" w:hAnsi="Times New Roman" w:hint="default"/>
      </w:rPr>
    </w:lvl>
    <w:lvl w:ilvl="4" w:tplc="84620F9E" w:tentative="1">
      <w:start w:val="1"/>
      <w:numFmt w:val="bullet"/>
      <w:lvlText w:val="•"/>
      <w:lvlJc w:val="left"/>
      <w:pPr>
        <w:tabs>
          <w:tab w:val="num" w:pos="3600"/>
        </w:tabs>
        <w:ind w:left="3600" w:hanging="360"/>
      </w:pPr>
      <w:rPr>
        <w:rFonts w:ascii="Times New Roman" w:hAnsi="Times New Roman" w:hint="default"/>
      </w:rPr>
    </w:lvl>
    <w:lvl w:ilvl="5" w:tplc="6A407B72" w:tentative="1">
      <w:start w:val="1"/>
      <w:numFmt w:val="bullet"/>
      <w:lvlText w:val="•"/>
      <w:lvlJc w:val="left"/>
      <w:pPr>
        <w:tabs>
          <w:tab w:val="num" w:pos="4320"/>
        </w:tabs>
        <w:ind w:left="4320" w:hanging="360"/>
      </w:pPr>
      <w:rPr>
        <w:rFonts w:ascii="Times New Roman" w:hAnsi="Times New Roman" w:hint="default"/>
      </w:rPr>
    </w:lvl>
    <w:lvl w:ilvl="6" w:tplc="6832BF9C" w:tentative="1">
      <w:start w:val="1"/>
      <w:numFmt w:val="bullet"/>
      <w:lvlText w:val="•"/>
      <w:lvlJc w:val="left"/>
      <w:pPr>
        <w:tabs>
          <w:tab w:val="num" w:pos="5040"/>
        </w:tabs>
        <w:ind w:left="5040" w:hanging="360"/>
      </w:pPr>
      <w:rPr>
        <w:rFonts w:ascii="Times New Roman" w:hAnsi="Times New Roman" w:hint="default"/>
      </w:rPr>
    </w:lvl>
    <w:lvl w:ilvl="7" w:tplc="7E142618" w:tentative="1">
      <w:start w:val="1"/>
      <w:numFmt w:val="bullet"/>
      <w:lvlText w:val="•"/>
      <w:lvlJc w:val="left"/>
      <w:pPr>
        <w:tabs>
          <w:tab w:val="num" w:pos="5760"/>
        </w:tabs>
        <w:ind w:left="5760" w:hanging="360"/>
      </w:pPr>
      <w:rPr>
        <w:rFonts w:ascii="Times New Roman" w:hAnsi="Times New Roman" w:hint="default"/>
      </w:rPr>
    </w:lvl>
    <w:lvl w:ilvl="8" w:tplc="C6B4668A" w:tentative="1">
      <w:start w:val="1"/>
      <w:numFmt w:val="bullet"/>
      <w:lvlText w:val="•"/>
      <w:lvlJc w:val="left"/>
      <w:pPr>
        <w:tabs>
          <w:tab w:val="num" w:pos="6480"/>
        </w:tabs>
        <w:ind w:left="6480" w:hanging="360"/>
      </w:pPr>
      <w:rPr>
        <w:rFonts w:ascii="Times New Roman" w:hAnsi="Times New Roman" w:hint="default"/>
      </w:rPr>
    </w:lvl>
  </w:abstractNum>
  <w:abstractNum w:abstractNumId="27">
    <w:nsid w:val="7B7B73C3"/>
    <w:multiLevelType w:val="hybridMultilevel"/>
    <w:tmpl w:val="0DCCAAF0"/>
    <w:lvl w:ilvl="0" w:tplc="5882CAEA">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8">
    <w:nsid w:val="7CC265F7"/>
    <w:multiLevelType w:val="hybridMultilevel"/>
    <w:tmpl w:val="0E0AD73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6"/>
  </w:num>
  <w:num w:numId="2">
    <w:abstractNumId w:val="25"/>
  </w:num>
  <w:num w:numId="3">
    <w:abstractNumId w:val="25"/>
    <w:lvlOverride w:ilvl="0">
      <w:startOverride w:val="3"/>
    </w:lvlOverride>
  </w:num>
  <w:num w:numId="4">
    <w:abstractNumId w:val="0"/>
  </w:num>
  <w:num w:numId="5">
    <w:abstractNumId w:val="16"/>
  </w:num>
  <w:num w:numId="6">
    <w:abstractNumId w:val="27"/>
  </w:num>
  <w:num w:numId="7">
    <w:abstractNumId w:val="5"/>
  </w:num>
  <w:num w:numId="8">
    <w:abstractNumId w:val="17"/>
  </w:num>
  <w:num w:numId="9">
    <w:abstractNumId w:val="13"/>
  </w:num>
  <w:num w:numId="10">
    <w:abstractNumId w:val="20"/>
  </w:num>
  <w:num w:numId="11">
    <w:abstractNumId w:val="10"/>
  </w:num>
  <w:num w:numId="12">
    <w:abstractNumId w:val="1"/>
  </w:num>
  <w:num w:numId="13">
    <w:abstractNumId w:val="24"/>
  </w:num>
  <w:num w:numId="14">
    <w:abstractNumId w:val="11"/>
  </w:num>
  <w:num w:numId="15">
    <w:abstractNumId w:val="4"/>
  </w:num>
  <w:num w:numId="16">
    <w:abstractNumId w:val="26"/>
  </w:num>
  <w:num w:numId="17">
    <w:abstractNumId w:val="18"/>
  </w:num>
  <w:num w:numId="18">
    <w:abstractNumId w:val="19"/>
  </w:num>
  <w:num w:numId="19">
    <w:abstractNumId w:val="2"/>
  </w:num>
  <w:num w:numId="20">
    <w:abstractNumId w:val="22"/>
  </w:num>
  <w:num w:numId="21">
    <w:abstractNumId w:val="14"/>
  </w:num>
  <w:num w:numId="22">
    <w:abstractNumId w:val="7"/>
  </w:num>
  <w:num w:numId="23">
    <w:abstractNumId w:val="12"/>
  </w:num>
  <w:num w:numId="24">
    <w:abstractNumId w:val="15"/>
  </w:num>
  <w:num w:numId="25">
    <w:abstractNumId w:val="9"/>
  </w:num>
  <w:num w:numId="26">
    <w:abstractNumId w:val="8"/>
  </w:num>
  <w:num w:numId="27">
    <w:abstractNumId w:val="25"/>
  </w:num>
  <w:num w:numId="28">
    <w:abstractNumId w:val="25"/>
  </w:num>
  <w:num w:numId="29">
    <w:abstractNumId w:val="3"/>
  </w:num>
  <w:num w:numId="30">
    <w:abstractNumId w:val="21"/>
  </w:num>
  <w:num w:numId="31">
    <w:abstractNumId w:val="28"/>
  </w:num>
  <w:num w:numId="3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5"/>
  </w:num>
  <w:num w:numId="35">
    <w:abstractNumId w:val="25"/>
  </w:num>
  <w:num w:numId="3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128A"/>
    <w:rsid w:val="000B3A2E"/>
    <w:rsid w:val="000D3AD1"/>
    <w:rsid w:val="0012130E"/>
    <w:rsid w:val="0016254A"/>
    <w:rsid w:val="001B3F03"/>
    <w:rsid w:val="001E3149"/>
    <w:rsid w:val="001F4DC5"/>
    <w:rsid w:val="00237AF1"/>
    <w:rsid w:val="00244EC4"/>
    <w:rsid w:val="00247A22"/>
    <w:rsid w:val="002575E3"/>
    <w:rsid w:val="003118B3"/>
    <w:rsid w:val="003264DF"/>
    <w:rsid w:val="00354A2C"/>
    <w:rsid w:val="003A1C5E"/>
    <w:rsid w:val="0041070B"/>
    <w:rsid w:val="00424726"/>
    <w:rsid w:val="004D6CBB"/>
    <w:rsid w:val="004F069E"/>
    <w:rsid w:val="00560631"/>
    <w:rsid w:val="005658B9"/>
    <w:rsid w:val="00567FA7"/>
    <w:rsid w:val="005A34D6"/>
    <w:rsid w:val="005F4E3D"/>
    <w:rsid w:val="00622CAB"/>
    <w:rsid w:val="00675D0F"/>
    <w:rsid w:val="006C4916"/>
    <w:rsid w:val="006F0011"/>
    <w:rsid w:val="007405FE"/>
    <w:rsid w:val="00777113"/>
    <w:rsid w:val="007A1BA1"/>
    <w:rsid w:val="007C7831"/>
    <w:rsid w:val="0082383D"/>
    <w:rsid w:val="00856A27"/>
    <w:rsid w:val="008843BB"/>
    <w:rsid w:val="008848C0"/>
    <w:rsid w:val="0089489F"/>
    <w:rsid w:val="0089694C"/>
    <w:rsid w:val="008E67B0"/>
    <w:rsid w:val="00953812"/>
    <w:rsid w:val="0098646E"/>
    <w:rsid w:val="009B5078"/>
    <w:rsid w:val="009E3EA6"/>
    <w:rsid w:val="00A207FC"/>
    <w:rsid w:val="00A80C9E"/>
    <w:rsid w:val="00A959E2"/>
    <w:rsid w:val="00AE11BD"/>
    <w:rsid w:val="00AF37FE"/>
    <w:rsid w:val="00B00A16"/>
    <w:rsid w:val="00B038A1"/>
    <w:rsid w:val="00B163E1"/>
    <w:rsid w:val="00B178C9"/>
    <w:rsid w:val="00B533A7"/>
    <w:rsid w:val="00B66D24"/>
    <w:rsid w:val="00BC0D37"/>
    <w:rsid w:val="00BC5C10"/>
    <w:rsid w:val="00BD5839"/>
    <w:rsid w:val="00C939A6"/>
    <w:rsid w:val="00CD0081"/>
    <w:rsid w:val="00D32BAA"/>
    <w:rsid w:val="00DF128A"/>
    <w:rsid w:val="00DF45D0"/>
    <w:rsid w:val="00E022A5"/>
    <w:rsid w:val="00E20A69"/>
    <w:rsid w:val="00E244EA"/>
    <w:rsid w:val="00E73619"/>
    <w:rsid w:val="00E746E2"/>
    <w:rsid w:val="00ED06B9"/>
    <w:rsid w:val="00EE0CF5"/>
    <w:rsid w:val="00F1337F"/>
    <w:rsid w:val="00F31E15"/>
    <w:rsid w:val="00F81FFE"/>
    <w:rsid w:val="00FC3F6B"/>
    <w:rsid w:val="00FF139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uiPriority="35"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Followed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1">
    <w:name w:val="heading 1"/>
    <w:basedOn w:val="Nadpis3"/>
    <w:next w:val="Normln"/>
    <w:link w:val="Nadpis1Char"/>
    <w:qFormat/>
    <w:rsid w:val="00B038A1"/>
    <w:pPr>
      <w:keepNext w:val="0"/>
      <w:widowControl w:val="0"/>
      <w:numPr>
        <w:ilvl w:val="0"/>
        <w:numId w:val="0"/>
      </w:numPr>
      <w:spacing w:before="0" w:after="0" w:line="276" w:lineRule="auto"/>
      <w:ind w:firstLine="709"/>
      <w:jc w:val="center"/>
      <w:outlineLvl w:val="0"/>
    </w:pPr>
    <w:rPr>
      <w:rFonts w:ascii="Times New Roman" w:hAnsi="Times New Roman" w:cs="Times New Roman"/>
      <w:sz w:val="24"/>
      <w:szCs w:val="24"/>
    </w:rPr>
  </w:style>
  <w:style w:type="paragraph" w:styleId="Nadpis2">
    <w:name w:val="heading 2"/>
    <w:basedOn w:val="Normln"/>
    <w:next w:val="Normln"/>
    <w:link w:val="Nadpis2Char"/>
    <w:qFormat/>
    <w:rsid w:val="00DF128A"/>
    <w:pPr>
      <w:keepNext/>
      <w:numPr>
        <w:ilvl w:val="1"/>
        <w:numId w:val="2"/>
      </w:numPr>
      <w:spacing w:before="240" w:after="60"/>
      <w:outlineLvl w:val="1"/>
    </w:pPr>
    <w:rPr>
      <w:rFonts w:ascii="Arial" w:eastAsia="Times New Roman" w:hAnsi="Arial" w:cs="Arial"/>
      <w:b/>
      <w:bCs/>
      <w:i/>
      <w:iCs/>
      <w:sz w:val="28"/>
      <w:szCs w:val="28"/>
      <w:lang w:eastAsia="cs-CZ"/>
    </w:rPr>
  </w:style>
  <w:style w:type="paragraph" w:styleId="Nadpis3">
    <w:name w:val="heading 3"/>
    <w:basedOn w:val="Normln"/>
    <w:next w:val="Normln"/>
    <w:link w:val="Nadpis3Char"/>
    <w:uiPriority w:val="9"/>
    <w:qFormat/>
    <w:rsid w:val="00DF128A"/>
    <w:pPr>
      <w:keepNext/>
      <w:numPr>
        <w:ilvl w:val="2"/>
        <w:numId w:val="2"/>
      </w:numPr>
      <w:tabs>
        <w:tab w:val="clear" w:pos="1571"/>
        <w:tab w:val="num" w:pos="720"/>
      </w:tabs>
      <w:spacing w:before="240" w:after="60"/>
      <w:ind w:left="720"/>
      <w:outlineLvl w:val="2"/>
    </w:pPr>
    <w:rPr>
      <w:rFonts w:ascii="Arial" w:eastAsia="Times New Roman" w:hAnsi="Arial" w:cs="Arial"/>
      <w:b/>
      <w:bCs/>
      <w:sz w:val="26"/>
      <w:szCs w:val="26"/>
      <w:lang w:eastAsia="cs-CZ"/>
    </w:rPr>
  </w:style>
  <w:style w:type="paragraph" w:styleId="Nadpis4">
    <w:name w:val="heading 4"/>
    <w:basedOn w:val="Normln"/>
    <w:next w:val="Normln"/>
    <w:link w:val="Nadpis4Char"/>
    <w:qFormat/>
    <w:rsid w:val="00DF128A"/>
    <w:pPr>
      <w:keepNext/>
      <w:numPr>
        <w:ilvl w:val="3"/>
        <w:numId w:val="2"/>
      </w:numPr>
      <w:spacing w:before="240" w:after="60"/>
      <w:outlineLvl w:val="3"/>
    </w:pPr>
    <w:rPr>
      <w:rFonts w:ascii="Times New Roman" w:eastAsia="Times New Roman" w:hAnsi="Times New Roman" w:cs="Times New Roman"/>
      <w:b/>
      <w:bCs/>
      <w:sz w:val="28"/>
      <w:szCs w:val="28"/>
      <w:lang w:eastAsia="cs-CZ"/>
    </w:rPr>
  </w:style>
  <w:style w:type="paragraph" w:styleId="Nadpis5">
    <w:name w:val="heading 5"/>
    <w:basedOn w:val="Normln"/>
    <w:next w:val="Normln"/>
    <w:link w:val="Nadpis5Char"/>
    <w:qFormat/>
    <w:rsid w:val="00DF128A"/>
    <w:pPr>
      <w:numPr>
        <w:ilvl w:val="4"/>
        <w:numId w:val="2"/>
      </w:numPr>
      <w:spacing w:before="240" w:after="60"/>
      <w:outlineLvl w:val="4"/>
    </w:pPr>
    <w:rPr>
      <w:rFonts w:ascii="Times New Roman" w:eastAsia="Times New Roman" w:hAnsi="Times New Roman" w:cs="Times New Roman"/>
      <w:b/>
      <w:bCs/>
      <w:i/>
      <w:iCs/>
      <w:sz w:val="26"/>
      <w:szCs w:val="26"/>
      <w:lang w:eastAsia="cs-CZ"/>
    </w:rPr>
  </w:style>
  <w:style w:type="paragraph" w:styleId="Nadpis6">
    <w:name w:val="heading 6"/>
    <w:basedOn w:val="Normln"/>
    <w:next w:val="Normln"/>
    <w:link w:val="Nadpis6Char"/>
    <w:qFormat/>
    <w:rsid w:val="00DF128A"/>
    <w:pPr>
      <w:numPr>
        <w:ilvl w:val="5"/>
        <w:numId w:val="2"/>
      </w:numPr>
      <w:spacing w:before="240" w:after="60"/>
      <w:outlineLvl w:val="5"/>
    </w:pPr>
    <w:rPr>
      <w:rFonts w:ascii="Times New Roman" w:eastAsia="Times New Roman" w:hAnsi="Times New Roman" w:cs="Times New Roman"/>
      <w:b/>
      <w:bCs/>
      <w:lang w:eastAsia="cs-CZ"/>
    </w:rPr>
  </w:style>
  <w:style w:type="paragraph" w:styleId="Nadpis7">
    <w:name w:val="heading 7"/>
    <w:basedOn w:val="Normln"/>
    <w:next w:val="Normln"/>
    <w:link w:val="Nadpis7Char"/>
    <w:qFormat/>
    <w:rsid w:val="00DF128A"/>
    <w:pPr>
      <w:numPr>
        <w:ilvl w:val="6"/>
        <w:numId w:val="2"/>
      </w:numPr>
      <w:spacing w:before="240" w:after="60"/>
      <w:outlineLvl w:val="6"/>
    </w:pPr>
    <w:rPr>
      <w:rFonts w:ascii="Times New Roman" w:eastAsia="Times New Roman" w:hAnsi="Times New Roman" w:cs="Times New Roman"/>
      <w:sz w:val="24"/>
      <w:szCs w:val="24"/>
      <w:lang w:eastAsia="cs-CZ"/>
    </w:rPr>
  </w:style>
  <w:style w:type="paragraph" w:styleId="Nadpis8">
    <w:name w:val="heading 8"/>
    <w:basedOn w:val="Normln"/>
    <w:next w:val="Normln"/>
    <w:link w:val="Nadpis8Char"/>
    <w:qFormat/>
    <w:rsid w:val="00DF128A"/>
    <w:pPr>
      <w:numPr>
        <w:ilvl w:val="7"/>
        <w:numId w:val="2"/>
      </w:numPr>
      <w:spacing w:before="240" w:after="60"/>
      <w:outlineLvl w:val="7"/>
    </w:pPr>
    <w:rPr>
      <w:rFonts w:ascii="Times New Roman" w:eastAsia="Times New Roman" w:hAnsi="Times New Roman" w:cs="Times New Roman"/>
      <w:i/>
      <w:iCs/>
      <w:sz w:val="24"/>
      <w:szCs w:val="24"/>
      <w:lang w:eastAsia="cs-CZ"/>
    </w:rPr>
  </w:style>
  <w:style w:type="paragraph" w:styleId="Nadpis9">
    <w:name w:val="heading 9"/>
    <w:basedOn w:val="Normln"/>
    <w:next w:val="Normln"/>
    <w:link w:val="Nadpis9Char"/>
    <w:qFormat/>
    <w:rsid w:val="00DF128A"/>
    <w:pPr>
      <w:numPr>
        <w:ilvl w:val="8"/>
        <w:numId w:val="2"/>
      </w:numPr>
      <w:spacing w:before="240" w:after="60"/>
      <w:outlineLvl w:val="8"/>
    </w:pPr>
    <w:rPr>
      <w:rFonts w:ascii="Arial" w:eastAsia="Times New Roman" w:hAnsi="Arial" w:cs="Arial"/>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DF128A"/>
    <w:pPr>
      <w:ind w:left="720"/>
      <w:contextualSpacing/>
    </w:pPr>
  </w:style>
  <w:style w:type="character" w:customStyle="1" w:styleId="Nadpis1Char">
    <w:name w:val="Nadpis 1 Char"/>
    <w:basedOn w:val="Standardnpsmoodstavce"/>
    <w:link w:val="Nadpis1"/>
    <w:rsid w:val="00B038A1"/>
    <w:rPr>
      <w:rFonts w:ascii="Times New Roman" w:eastAsia="Times New Roman" w:hAnsi="Times New Roman" w:cs="Times New Roman"/>
      <w:b/>
      <w:bCs/>
      <w:sz w:val="24"/>
      <w:szCs w:val="24"/>
      <w:lang w:eastAsia="cs-CZ"/>
    </w:rPr>
  </w:style>
  <w:style w:type="character" w:customStyle="1" w:styleId="Nadpis2Char">
    <w:name w:val="Nadpis 2 Char"/>
    <w:basedOn w:val="Standardnpsmoodstavce"/>
    <w:link w:val="Nadpis2"/>
    <w:rsid w:val="00DF128A"/>
    <w:rPr>
      <w:rFonts w:ascii="Arial" w:eastAsia="Times New Roman" w:hAnsi="Arial" w:cs="Arial"/>
      <w:b/>
      <w:bCs/>
      <w:i/>
      <w:iCs/>
      <w:sz w:val="28"/>
      <w:szCs w:val="28"/>
      <w:lang w:eastAsia="cs-CZ"/>
    </w:rPr>
  </w:style>
  <w:style w:type="character" w:customStyle="1" w:styleId="Nadpis3Char">
    <w:name w:val="Nadpis 3 Char"/>
    <w:basedOn w:val="Standardnpsmoodstavce"/>
    <w:link w:val="Nadpis3"/>
    <w:uiPriority w:val="9"/>
    <w:rsid w:val="00DF128A"/>
    <w:rPr>
      <w:rFonts w:ascii="Arial" w:eastAsia="Times New Roman" w:hAnsi="Arial" w:cs="Arial"/>
      <w:b/>
      <w:bCs/>
      <w:sz w:val="26"/>
      <w:szCs w:val="26"/>
      <w:lang w:eastAsia="cs-CZ"/>
    </w:rPr>
  </w:style>
  <w:style w:type="character" w:customStyle="1" w:styleId="Nadpis4Char">
    <w:name w:val="Nadpis 4 Char"/>
    <w:basedOn w:val="Standardnpsmoodstavce"/>
    <w:link w:val="Nadpis4"/>
    <w:rsid w:val="00DF128A"/>
    <w:rPr>
      <w:rFonts w:ascii="Times New Roman" w:eastAsia="Times New Roman" w:hAnsi="Times New Roman" w:cs="Times New Roman"/>
      <w:b/>
      <w:bCs/>
      <w:sz w:val="28"/>
      <w:szCs w:val="28"/>
      <w:lang w:eastAsia="cs-CZ"/>
    </w:rPr>
  </w:style>
  <w:style w:type="character" w:customStyle="1" w:styleId="Nadpis5Char">
    <w:name w:val="Nadpis 5 Char"/>
    <w:basedOn w:val="Standardnpsmoodstavce"/>
    <w:link w:val="Nadpis5"/>
    <w:rsid w:val="00DF128A"/>
    <w:rPr>
      <w:rFonts w:ascii="Times New Roman" w:eastAsia="Times New Roman" w:hAnsi="Times New Roman" w:cs="Times New Roman"/>
      <w:b/>
      <w:bCs/>
      <w:i/>
      <w:iCs/>
      <w:sz w:val="26"/>
      <w:szCs w:val="26"/>
      <w:lang w:eastAsia="cs-CZ"/>
    </w:rPr>
  </w:style>
  <w:style w:type="character" w:customStyle="1" w:styleId="Nadpis6Char">
    <w:name w:val="Nadpis 6 Char"/>
    <w:basedOn w:val="Standardnpsmoodstavce"/>
    <w:link w:val="Nadpis6"/>
    <w:rsid w:val="00DF128A"/>
    <w:rPr>
      <w:rFonts w:ascii="Times New Roman" w:eastAsia="Times New Roman" w:hAnsi="Times New Roman" w:cs="Times New Roman"/>
      <w:b/>
      <w:bCs/>
      <w:lang w:eastAsia="cs-CZ"/>
    </w:rPr>
  </w:style>
  <w:style w:type="character" w:customStyle="1" w:styleId="Nadpis7Char">
    <w:name w:val="Nadpis 7 Char"/>
    <w:basedOn w:val="Standardnpsmoodstavce"/>
    <w:link w:val="Nadpis7"/>
    <w:rsid w:val="00DF128A"/>
    <w:rPr>
      <w:rFonts w:ascii="Times New Roman" w:eastAsia="Times New Roman" w:hAnsi="Times New Roman" w:cs="Times New Roman"/>
      <w:sz w:val="24"/>
      <w:szCs w:val="24"/>
      <w:lang w:eastAsia="cs-CZ"/>
    </w:rPr>
  </w:style>
  <w:style w:type="character" w:customStyle="1" w:styleId="Nadpis8Char">
    <w:name w:val="Nadpis 8 Char"/>
    <w:basedOn w:val="Standardnpsmoodstavce"/>
    <w:link w:val="Nadpis8"/>
    <w:rsid w:val="00DF128A"/>
    <w:rPr>
      <w:rFonts w:ascii="Times New Roman" w:eastAsia="Times New Roman" w:hAnsi="Times New Roman" w:cs="Times New Roman"/>
      <w:i/>
      <w:iCs/>
      <w:sz w:val="24"/>
      <w:szCs w:val="24"/>
      <w:lang w:eastAsia="cs-CZ"/>
    </w:rPr>
  </w:style>
  <w:style w:type="character" w:customStyle="1" w:styleId="Nadpis9Char">
    <w:name w:val="Nadpis 9 Char"/>
    <w:basedOn w:val="Standardnpsmoodstavce"/>
    <w:link w:val="Nadpis9"/>
    <w:rsid w:val="00DF128A"/>
    <w:rPr>
      <w:rFonts w:ascii="Arial" w:eastAsia="Times New Roman" w:hAnsi="Arial" w:cs="Arial"/>
      <w:lang w:eastAsia="cs-CZ"/>
    </w:rPr>
  </w:style>
  <w:style w:type="paragraph" w:styleId="Textpoznpodarou">
    <w:name w:val="footnote text"/>
    <w:basedOn w:val="Normln"/>
    <w:link w:val="TextpoznpodarouChar"/>
    <w:semiHidden/>
    <w:rsid w:val="00DF128A"/>
    <w:rPr>
      <w:rFonts w:ascii="Times New Roman" w:eastAsia="Times New Roman" w:hAnsi="Times New Roman" w:cs="Times New Roman"/>
      <w:sz w:val="20"/>
      <w:szCs w:val="20"/>
      <w:lang w:eastAsia="cs-CZ"/>
    </w:rPr>
  </w:style>
  <w:style w:type="character" w:customStyle="1" w:styleId="TextpoznpodarouChar">
    <w:name w:val="Text pozn. pod čarou Char"/>
    <w:basedOn w:val="Standardnpsmoodstavce"/>
    <w:link w:val="Textpoznpodarou"/>
    <w:uiPriority w:val="99"/>
    <w:semiHidden/>
    <w:rsid w:val="00DF128A"/>
    <w:rPr>
      <w:rFonts w:ascii="Times New Roman" w:eastAsia="Times New Roman" w:hAnsi="Times New Roman" w:cs="Times New Roman"/>
      <w:sz w:val="20"/>
      <w:szCs w:val="20"/>
      <w:lang w:eastAsia="cs-CZ"/>
    </w:rPr>
  </w:style>
  <w:style w:type="character" w:styleId="Znakapoznpodarou">
    <w:name w:val="footnote reference"/>
    <w:semiHidden/>
    <w:rsid w:val="00DF128A"/>
    <w:rPr>
      <w:vertAlign w:val="superscript"/>
    </w:rPr>
  </w:style>
  <w:style w:type="character" w:styleId="Hypertextovodkaz">
    <w:name w:val="Hyperlink"/>
    <w:uiPriority w:val="99"/>
    <w:rsid w:val="00DF128A"/>
    <w:rPr>
      <w:color w:val="0000FF"/>
      <w:u w:val="single"/>
    </w:rPr>
  </w:style>
  <w:style w:type="character" w:customStyle="1" w:styleId="bottommenu">
    <w:name w:val="bottom_menu"/>
    <w:basedOn w:val="Standardnpsmoodstavce"/>
    <w:rsid w:val="00DF128A"/>
  </w:style>
  <w:style w:type="character" w:styleId="Odkaznakoment">
    <w:name w:val="annotation reference"/>
    <w:unhideWhenUsed/>
    <w:rsid w:val="00DF128A"/>
    <w:rPr>
      <w:sz w:val="16"/>
      <w:szCs w:val="16"/>
    </w:rPr>
  </w:style>
  <w:style w:type="paragraph" w:styleId="Textkomente">
    <w:name w:val="annotation text"/>
    <w:basedOn w:val="Normln"/>
    <w:link w:val="TextkomenteChar"/>
    <w:unhideWhenUsed/>
    <w:rsid w:val="00DF128A"/>
    <w:rPr>
      <w:rFonts w:ascii="Times New Roman" w:eastAsia="Times New Roman" w:hAnsi="Times New Roman" w:cs="Times New Roman"/>
      <w:sz w:val="20"/>
      <w:szCs w:val="20"/>
      <w:lang w:eastAsia="cs-CZ"/>
    </w:rPr>
  </w:style>
  <w:style w:type="character" w:customStyle="1" w:styleId="TextkomenteChar">
    <w:name w:val="Text komentáře Char"/>
    <w:basedOn w:val="Standardnpsmoodstavce"/>
    <w:link w:val="Textkomente"/>
    <w:rsid w:val="00DF128A"/>
    <w:rPr>
      <w:rFonts w:ascii="Times New Roman" w:eastAsia="Times New Roman" w:hAnsi="Times New Roman" w:cs="Times New Roman"/>
      <w:sz w:val="20"/>
      <w:szCs w:val="20"/>
      <w:lang w:eastAsia="cs-CZ"/>
    </w:rPr>
  </w:style>
  <w:style w:type="paragraph" w:styleId="Textbubliny">
    <w:name w:val="Balloon Text"/>
    <w:basedOn w:val="Normln"/>
    <w:link w:val="TextbublinyChar"/>
    <w:uiPriority w:val="99"/>
    <w:semiHidden/>
    <w:unhideWhenUsed/>
    <w:rsid w:val="00DF128A"/>
    <w:rPr>
      <w:rFonts w:ascii="Tahoma" w:hAnsi="Tahoma" w:cs="Tahoma"/>
      <w:sz w:val="16"/>
      <w:szCs w:val="16"/>
    </w:rPr>
  </w:style>
  <w:style w:type="character" w:customStyle="1" w:styleId="TextbublinyChar">
    <w:name w:val="Text bubliny Char"/>
    <w:basedOn w:val="Standardnpsmoodstavce"/>
    <w:link w:val="Textbubliny"/>
    <w:uiPriority w:val="99"/>
    <w:semiHidden/>
    <w:rsid w:val="00DF128A"/>
    <w:rPr>
      <w:rFonts w:ascii="Tahoma" w:hAnsi="Tahoma" w:cs="Tahoma"/>
      <w:sz w:val="16"/>
      <w:szCs w:val="16"/>
    </w:rPr>
  </w:style>
  <w:style w:type="paragraph" w:styleId="Zkladntextodsazen">
    <w:name w:val="Body Text Indent"/>
    <w:basedOn w:val="Normln"/>
    <w:link w:val="ZkladntextodsazenChar"/>
    <w:semiHidden/>
    <w:rsid w:val="00DF128A"/>
    <w:pPr>
      <w:ind w:firstLine="708"/>
      <w:jc w:val="both"/>
    </w:pPr>
    <w:rPr>
      <w:rFonts w:ascii="Times New Roman" w:eastAsia="Times New Roman" w:hAnsi="Times New Roman" w:cs="Times New Roman"/>
      <w:sz w:val="24"/>
      <w:szCs w:val="24"/>
      <w:lang w:eastAsia="cs-CZ"/>
    </w:rPr>
  </w:style>
  <w:style w:type="character" w:customStyle="1" w:styleId="ZkladntextodsazenChar">
    <w:name w:val="Základní text odsazený Char"/>
    <w:basedOn w:val="Standardnpsmoodstavce"/>
    <w:link w:val="Zkladntextodsazen"/>
    <w:semiHidden/>
    <w:rsid w:val="00DF128A"/>
    <w:rPr>
      <w:rFonts w:ascii="Times New Roman" w:eastAsia="Times New Roman" w:hAnsi="Times New Roman" w:cs="Times New Roman"/>
      <w:sz w:val="24"/>
      <w:szCs w:val="24"/>
      <w:lang w:eastAsia="cs-CZ"/>
    </w:rPr>
  </w:style>
  <w:style w:type="paragraph" w:styleId="Zkladntext2">
    <w:name w:val="Body Text 2"/>
    <w:basedOn w:val="Normln"/>
    <w:link w:val="Zkladntext2Char"/>
    <w:semiHidden/>
    <w:rsid w:val="00DF128A"/>
    <w:pPr>
      <w:jc w:val="both"/>
    </w:pPr>
    <w:rPr>
      <w:rFonts w:ascii="Times New Roman" w:eastAsia="Times New Roman" w:hAnsi="Times New Roman" w:cs="Times New Roman"/>
      <w:sz w:val="24"/>
      <w:szCs w:val="24"/>
      <w:lang w:eastAsia="cs-CZ"/>
    </w:rPr>
  </w:style>
  <w:style w:type="character" w:customStyle="1" w:styleId="Zkladntext2Char">
    <w:name w:val="Základní text 2 Char"/>
    <w:basedOn w:val="Standardnpsmoodstavce"/>
    <w:link w:val="Zkladntext2"/>
    <w:semiHidden/>
    <w:rsid w:val="00DF128A"/>
    <w:rPr>
      <w:rFonts w:ascii="Times New Roman" w:eastAsia="Times New Roman" w:hAnsi="Times New Roman" w:cs="Times New Roman"/>
      <w:sz w:val="24"/>
      <w:szCs w:val="24"/>
      <w:lang w:eastAsia="cs-CZ"/>
    </w:rPr>
  </w:style>
  <w:style w:type="paragraph" w:styleId="Zpat">
    <w:name w:val="footer"/>
    <w:basedOn w:val="Normln"/>
    <w:link w:val="ZpatChar"/>
    <w:rsid w:val="00DF128A"/>
    <w:pPr>
      <w:tabs>
        <w:tab w:val="center" w:pos="4536"/>
        <w:tab w:val="right" w:pos="9072"/>
      </w:tabs>
    </w:pPr>
    <w:rPr>
      <w:rFonts w:ascii="Times New Roman" w:eastAsia="Times New Roman" w:hAnsi="Times New Roman" w:cs="Times New Roman"/>
      <w:sz w:val="24"/>
      <w:szCs w:val="24"/>
      <w:lang w:eastAsia="cs-CZ"/>
    </w:rPr>
  </w:style>
  <w:style w:type="character" w:customStyle="1" w:styleId="ZpatChar">
    <w:name w:val="Zápatí Char"/>
    <w:basedOn w:val="Standardnpsmoodstavce"/>
    <w:link w:val="Zpat"/>
    <w:semiHidden/>
    <w:rsid w:val="00DF128A"/>
    <w:rPr>
      <w:rFonts w:ascii="Times New Roman" w:eastAsia="Times New Roman" w:hAnsi="Times New Roman" w:cs="Times New Roman"/>
      <w:sz w:val="24"/>
      <w:szCs w:val="24"/>
      <w:lang w:eastAsia="cs-CZ"/>
    </w:rPr>
  </w:style>
  <w:style w:type="character" w:styleId="slostrnky">
    <w:name w:val="page number"/>
    <w:basedOn w:val="Standardnpsmoodstavce"/>
    <w:rsid w:val="00DF128A"/>
  </w:style>
  <w:style w:type="paragraph" w:styleId="Zkladntextodsazen2">
    <w:name w:val="Body Text Indent 2"/>
    <w:basedOn w:val="Normln"/>
    <w:link w:val="Zkladntextodsazen2Char"/>
    <w:uiPriority w:val="99"/>
    <w:semiHidden/>
    <w:unhideWhenUsed/>
    <w:rsid w:val="00DF128A"/>
    <w:pPr>
      <w:spacing w:after="120" w:line="480" w:lineRule="auto"/>
      <w:ind w:left="283"/>
    </w:pPr>
  </w:style>
  <w:style w:type="character" w:customStyle="1" w:styleId="Zkladntextodsazen2Char">
    <w:name w:val="Základní text odsazený 2 Char"/>
    <w:basedOn w:val="Standardnpsmoodstavce"/>
    <w:link w:val="Zkladntextodsazen2"/>
    <w:uiPriority w:val="99"/>
    <w:semiHidden/>
    <w:rsid w:val="00DF128A"/>
  </w:style>
  <w:style w:type="character" w:styleId="Siln">
    <w:name w:val="Strong"/>
    <w:uiPriority w:val="22"/>
    <w:qFormat/>
    <w:rsid w:val="00DF128A"/>
    <w:rPr>
      <w:b/>
      <w:bCs/>
    </w:rPr>
  </w:style>
  <w:style w:type="paragraph" w:customStyle="1" w:styleId="tabulka">
    <w:name w:val="tabulka"/>
    <w:basedOn w:val="Normln"/>
    <w:rsid w:val="00DF128A"/>
    <w:rPr>
      <w:rFonts w:ascii="Times New Roman" w:eastAsia="Times New Roman" w:hAnsi="Times New Roman" w:cs="Times New Roman"/>
      <w:color w:val="000000"/>
      <w:sz w:val="20"/>
      <w:szCs w:val="24"/>
      <w:lang w:eastAsia="cs-CZ"/>
    </w:rPr>
  </w:style>
  <w:style w:type="character" w:customStyle="1" w:styleId="TEXTCharChar">
    <w:name w:val="TEXT Char Char"/>
    <w:link w:val="TEXTChar"/>
    <w:rsid w:val="00DF128A"/>
    <w:rPr>
      <w:sz w:val="23"/>
      <w:szCs w:val="23"/>
      <w:lang w:bidi="en-US"/>
    </w:rPr>
  </w:style>
  <w:style w:type="paragraph" w:customStyle="1" w:styleId="TEXTChar">
    <w:name w:val="TEXT Char"/>
    <w:basedOn w:val="Normln"/>
    <w:link w:val="TEXTCharChar"/>
    <w:rsid w:val="00DF128A"/>
    <w:pPr>
      <w:spacing w:after="120"/>
      <w:jc w:val="both"/>
    </w:pPr>
    <w:rPr>
      <w:sz w:val="23"/>
      <w:szCs w:val="23"/>
      <w:lang w:bidi="en-US"/>
    </w:rPr>
  </w:style>
  <w:style w:type="paragraph" w:customStyle="1" w:styleId="OBRAZEKStylzarovnnnastedZa0bdkovnNejmn13b">
    <w:name w:val="OBRAZEK Styl zarovnání na střed Za:  0 b. Řádkování:  Nejméně 13 b."/>
    <w:basedOn w:val="Normln"/>
    <w:rsid w:val="00DF128A"/>
    <w:pPr>
      <w:spacing w:before="480" w:line="26" w:lineRule="atLeast"/>
      <w:jc w:val="center"/>
    </w:pPr>
    <w:rPr>
      <w:rFonts w:ascii="Times New Roman" w:eastAsia="Times New Roman" w:hAnsi="Times New Roman" w:cs="Times New Roman"/>
      <w:sz w:val="24"/>
      <w:szCs w:val="20"/>
      <w:lang w:bidi="en-US"/>
    </w:rPr>
  </w:style>
  <w:style w:type="paragraph" w:customStyle="1" w:styleId="PODOBRAZEKStylKurzvadkovnNejmn13b">
    <w:name w:val="POD OBRAZEK Styl Kurzíva Řádkování:  Nejméně 13 b."/>
    <w:basedOn w:val="Normln"/>
    <w:rsid w:val="00DF128A"/>
    <w:pPr>
      <w:spacing w:after="240" w:line="26" w:lineRule="atLeast"/>
      <w:jc w:val="both"/>
    </w:pPr>
    <w:rPr>
      <w:rFonts w:ascii="Times New Roman" w:eastAsia="Times New Roman" w:hAnsi="Times New Roman" w:cs="Times New Roman"/>
      <w:i/>
      <w:iCs/>
      <w:sz w:val="23"/>
      <w:szCs w:val="20"/>
      <w:lang w:bidi="en-US"/>
    </w:rPr>
  </w:style>
  <w:style w:type="paragraph" w:styleId="Zkladntext">
    <w:name w:val="Body Text"/>
    <w:basedOn w:val="Normln"/>
    <w:link w:val="ZkladntextChar"/>
    <w:unhideWhenUsed/>
    <w:rsid w:val="00DF128A"/>
    <w:pPr>
      <w:spacing w:after="120"/>
    </w:pPr>
  </w:style>
  <w:style w:type="character" w:customStyle="1" w:styleId="ZkladntextChar">
    <w:name w:val="Základní text Char"/>
    <w:basedOn w:val="Standardnpsmoodstavce"/>
    <w:link w:val="Zkladntext"/>
    <w:rsid w:val="00DF128A"/>
  </w:style>
  <w:style w:type="paragraph" w:styleId="Zkladntext3">
    <w:name w:val="Body Text 3"/>
    <w:basedOn w:val="Normln"/>
    <w:link w:val="Zkladntext3Char"/>
    <w:uiPriority w:val="99"/>
    <w:semiHidden/>
    <w:unhideWhenUsed/>
    <w:rsid w:val="00DF128A"/>
    <w:pPr>
      <w:spacing w:after="120"/>
    </w:pPr>
    <w:rPr>
      <w:sz w:val="16"/>
      <w:szCs w:val="16"/>
    </w:rPr>
  </w:style>
  <w:style w:type="character" w:customStyle="1" w:styleId="Zkladntext3Char">
    <w:name w:val="Základní text 3 Char"/>
    <w:basedOn w:val="Standardnpsmoodstavce"/>
    <w:link w:val="Zkladntext3"/>
    <w:uiPriority w:val="99"/>
    <w:semiHidden/>
    <w:rsid w:val="00DF128A"/>
    <w:rPr>
      <w:sz w:val="16"/>
      <w:szCs w:val="16"/>
    </w:rPr>
  </w:style>
  <w:style w:type="paragraph" w:styleId="Titulek">
    <w:name w:val="caption"/>
    <w:basedOn w:val="Normln"/>
    <w:next w:val="Normln"/>
    <w:uiPriority w:val="35"/>
    <w:qFormat/>
    <w:rsid w:val="00DF128A"/>
    <w:pPr>
      <w:jc w:val="both"/>
    </w:pPr>
    <w:rPr>
      <w:rFonts w:ascii="Times New Roman" w:eastAsia="Times New Roman" w:hAnsi="Times New Roman" w:cs="Times New Roman"/>
      <w:i/>
      <w:iCs/>
      <w:color w:val="000000"/>
      <w:sz w:val="20"/>
      <w:szCs w:val="24"/>
      <w:lang w:eastAsia="cs-CZ"/>
    </w:rPr>
  </w:style>
  <w:style w:type="character" w:customStyle="1" w:styleId="a">
    <w:name w:val="a"/>
    <w:basedOn w:val="Standardnpsmoodstavce"/>
    <w:rsid w:val="00DF128A"/>
  </w:style>
  <w:style w:type="character" w:styleId="Zvraznn">
    <w:name w:val="Emphasis"/>
    <w:uiPriority w:val="20"/>
    <w:qFormat/>
    <w:rsid w:val="00DF128A"/>
    <w:rPr>
      <w:i/>
      <w:iCs/>
    </w:rPr>
  </w:style>
  <w:style w:type="paragraph" w:styleId="Normlnweb">
    <w:name w:val="Normal (Web)"/>
    <w:basedOn w:val="Normln"/>
    <w:rsid w:val="00DF128A"/>
    <w:pPr>
      <w:spacing w:before="100" w:beforeAutospacing="1" w:after="100" w:afterAutospacing="1"/>
    </w:pPr>
    <w:rPr>
      <w:rFonts w:ascii="Times New Roman" w:eastAsia="Times New Roman" w:hAnsi="Times New Roman" w:cs="Times New Roman"/>
      <w:sz w:val="24"/>
      <w:szCs w:val="24"/>
      <w:lang w:eastAsia="cs-CZ"/>
    </w:rPr>
  </w:style>
  <w:style w:type="character" w:customStyle="1" w:styleId="hit">
    <w:name w:val="hit"/>
    <w:basedOn w:val="Standardnpsmoodstavce"/>
    <w:rsid w:val="00DF128A"/>
  </w:style>
  <w:style w:type="character" w:customStyle="1" w:styleId="bf">
    <w:name w:val="bf"/>
    <w:basedOn w:val="Standardnpsmoodstavce"/>
    <w:rsid w:val="00DF128A"/>
  </w:style>
  <w:style w:type="character" w:customStyle="1" w:styleId="title2">
    <w:name w:val="title2"/>
    <w:rsid w:val="00DF128A"/>
    <w:rPr>
      <w:b/>
      <w:bCs/>
      <w:sz w:val="20"/>
      <w:szCs w:val="20"/>
    </w:rPr>
  </w:style>
  <w:style w:type="paragraph" w:styleId="Obsah1">
    <w:name w:val="toc 1"/>
    <w:basedOn w:val="Normln"/>
    <w:next w:val="Normln"/>
    <w:autoRedefine/>
    <w:uiPriority w:val="39"/>
    <w:rsid w:val="00DF128A"/>
    <w:pPr>
      <w:tabs>
        <w:tab w:val="left" w:pos="480"/>
        <w:tab w:val="right" w:leader="dot" w:pos="9062"/>
      </w:tabs>
      <w:spacing w:before="120" w:after="120" w:line="312" w:lineRule="auto"/>
    </w:pPr>
    <w:rPr>
      <w:rFonts w:ascii="Times New Roman" w:eastAsia="Times New Roman" w:hAnsi="Times New Roman" w:cs="Times New Roman"/>
      <w:sz w:val="24"/>
      <w:szCs w:val="24"/>
      <w:lang w:eastAsia="cs-CZ"/>
    </w:rPr>
  </w:style>
  <w:style w:type="character" w:customStyle="1" w:styleId="text11">
    <w:name w:val="text11"/>
    <w:basedOn w:val="Standardnpsmoodstavce"/>
    <w:rsid w:val="00DF128A"/>
  </w:style>
  <w:style w:type="character" w:customStyle="1" w:styleId="Normln1">
    <w:name w:val="Normální1"/>
    <w:basedOn w:val="Standardnpsmoodstavce"/>
    <w:rsid w:val="00DF128A"/>
  </w:style>
  <w:style w:type="paragraph" w:customStyle="1" w:styleId="NZEVKAPITOLY">
    <w:name w:val="NÁZEV KAPITOLY"/>
    <w:basedOn w:val="Normln"/>
    <w:rsid w:val="00DF128A"/>
    <w:pPr>
      <w:tabs>
        <w:tab w:val="left" w:pos="6300"/>
      </w:tabs>
      <w:autoSpaceDE w:val="0"/>
      <w:autoSpaceDN w:val="0"/>
      <w:adjustRightInd w:val="0"/>
      <w:spacing w:line="360" w:lineRule="auto"/>
    </w:pPr>
    <w:rPr>
      <w:rFonts w:ascii="Times New Roman" w:eastAsia="Times New Roman" w:hAnsi="Times New Roman" w:cs="Times New Roman"/>
      <w:b/>
      <w:caps/>
      <w:sz w:val="28"/>
      <w:szCs w:val="28"/>
      <w:lang w:eastAsia="cs-CZ"/>
    </w:rPr>
  </w:style>
  <w:style w:type="paragraph" w:customStyle="1" w:styleId="NZEVPODKAPITOLY">
    <w:name w:val="NÁZEV PODKAPITOLY"/>
    <w:basedOn w:val="NZEVKAPITOLY"/>
    <w:rsid w:val="00DF128A"/>
    <w:rPr>
      <w:caps w:val="0"/>
    </w:rPr>
  </w:style>
  <w:style w:type="character" w:styleId="Sledovanodkaz">
    <w:name w:val="FollowedHyperlink"/>
    <w:rsid w:val="00DF128A"/>
    <w:rPr>
      <w:color w:val="800080"/>
      <w:u w:val="single"/>
    </w:rPr>
  </w:style>
  <w:style w:type="character" w:customStyle="1" w:styleId="bold1">
    <w:name w:val="bold1"/>
    <w:rsid w:val="00DF128A"/>
    <w:rPr>
      <w:b/>
      <w:bCs/>
    </w:rPr>
  </w:style>
  <w:style w:type="paragraph" w:customStyle="1" w:styleId="Mjtext">
    <w:name w:val="Můj text"/>
    <w:rsid w:val="00DF128A"/>
    <w:pPr>
      <w:spacing w:after="120" w:line="360" w:lineRule="auto"/>
      <w:ind w:firstLine="624"/>
      <w:jc w:val="both"/>
    </w:pPr>
    <w:rPr>
      <w:rFonts w:ascii="Times New Roman" w:eastAsia="Times New Roman" w:hAnsi="Times New Roman" w:cs="Times New Roman"/>
      <w:bCs/>
      <w:szCs w:val="20"/>
      <w:lang w:eastAsia="cs-CZ"/>
    </w:rPr>
  </w:style>
  <w:style w:type="paragraph" w:styleId="Pedmtkomente">
    <w:name w:val="annotation subject"/>
    <w:basedOn w:val="Textkomente"/>
    <w:next w:val="Textkomente"/>
    <w:link w:val="PedmtkomenteChar"/>
    <w:uiPriority w:val="99"/>
    <w:semiHidden/>
    <w:unhideWhenUsed/>
    <w:rsid w:val="00DF128A"/>
    <w:rPr>
      <w:b/>
      <w:bCs/>
    </w:rPr>
  </w:style>
  <w:style w:type="character" w:customStyle="1" w:styleId="PedmtkomenteChar">
    <w:name w:val="Předmět komentáře Char"/>
    <w:basedOn w:val="TextkomenteChar"/>
    <w:link w:val="Pedmtkomente"/>
    <w:uiPriority w:val="99"/>
    <w:semiHidden/>
    <w:rsid w:val="00DF128A"/>
    <w:rPr>
      <w:rFonts w:ascii="Times New Roman" w:eastAsia="Times New Roman" w:hAnsi="Times New Roman" w:cs="Times New Roman"/>
      <w:b/>
      <w:bCs/>
      <w:sz w:val="20"/>
      <w:szCs w:val="20"/>
      <w:lang w:eastAsia="cs-CZ"/>
    </w:rPr>
  </w:style>
  <w:style w:type="paragraph" w:styleId="Bezmezer">
    <w:name w:val="No Spacing"/>
    <w:aliases w:val="Nadpis"/>
    <w:basedOn w:val="Normln"/>
    <w:link w:val="BezmezerChar"/>
    <w:uiPriority w:val="1"/>
    <w:qFormat/>
    <w:rsid w:val="00DF128A"/>
    <w:pPr>
      <w:spacing w:line="312" w:lineRule="auto"/>
      <w:jc w:val="both"/>
    </w:pPr>
    <w:rPr>
      <w:rFonts w:ascii="Times New Roman" w:eastAsia="Calibri" w:hAnsi="Times New Roman" w:cs="Times New Roman"/>
      <w:b/>
      <w:caps/>
      <w:sz w:val="36"/>
    </w:rPr>
  </w:style>
  <w:style w:type="paragraph" w:styleId="Podtitul">
    <w:name w:val="Subtitle"/>
    <w:aliases w:val="Nadpis kapitoly"/>
    <w:basedOn w:val="Normln"/>
    <w:next w:val="Normln"/>
    <w:link w:val="PodtitulChar"/>
    <w:uiPriority w:val="11"/>
    <w:qFormat/>
    <w:rsid w:val="00DF128A"/>
    <w:pPr>
      <w:numPr>
        <w:ilvl w:val="1"/>
      </w:numPr>
      <w:spacing w:line="312" w:lineRule="auto"/>
      <w:jc w:val="both"/>
    </w:pPr>
    <w:rPr>
      <w:rFonts w:ascii="Times New Roman" w:eastAsia="Times New Roman" w:hAnsi="Times New Roman" w:cs="Times New Roman"/>
      <w:b/>
      <w:iCs/>
      <w:caps/>
      <w:spacing w:val="15"/>
      <w:sz w:val="24"/>
      <w:szCs w:val="24"/>
    </w:rPr>
  </w:style>
  <w:style w:type="character" w:customStyle="1" w:styleId="PodtitulChar">
    <w:name w:val="Podtitul Char"/>
    <w:aliases w:val="Nadpis kapitoly Char"/>
    <w:basedOn w:val="Standardnpsmoodstavce"/>
    <w:link w:val="Podtitul"/>
    <w:uiPriority w:val="11"/>
    <w:rsid w:val="00DF128A"/>
    <w:rPr>
      <w:rFonts w:ascii="Times New Roman" w:eastAsia="Times New Roman" w:hAnsi="Times New Roman" w:cs="Times New Roman"/>
      <w:b/>
      <w:iCs/>
      <w:caps/>
      <w:spacing w:val="15"/>
      <w:sz w:val="24"/>
      <w:szCs w:val="24"/>
    </w:rPr>
  </w:style>
  <w:style w:type="paragraph" w:customStyle="1" w:styleId="Nadpispodkapitoly">
    <w:name w:val="Nadpis podkapitoly"/>
    <w:basedOn w:val="Normln"/>
    <w:next w:val="Normln"/>
    <w:uiPriority w:val="29"/>
    <w:qFormat/>
    <w:rsid w:val="00DF128A"/>
    <w:pPr>
      <w:spacing w:line="312" w:lineRule="auto"/>
      <w:jc w:val="both"/>
    </w:pPr>
    <w:rPr>
      <w:rFonts w:ascii="Times New Roman" w:eastAsia="Calibri" w:hAnsi="Times New Roman" w:cs="Times New Roman"/>
      <w:b/>
      <w:iCs/>
      <w:color w:val="000000"/>
      <w:sz w:val="24"/>
    </w:rPr>
  </w:style>
  <w:style w:type="character" w:customStyle="1" w:styleId="CittChar1">
    <w:name w:val="Citát Char1"/>
    <w:link w:val="Citt"/>
    <w:uiPriority w:val="29"/>
    <w:rsid w:val="00DF128A"/>
    <w:rPr>
      <w:rFonts w:ascii="Times New Roman" w:hAnsi="Times New Roman"/>
      <w:b/>
      <w:iCs/>
      <w:color w:val="000000"/>
      <w:sz w:val="24"/>
    </w:rPr>
  </w:style>
  <w:style w:type="paragraph" w:styleId="Obsah2">
    <w:name w:val="toc 2"/>
    <w:basedOn w:val="Normln"/>
    <w:next w:val="Normln"/>
    <w:autoRedefine/>
    <w:uiPriority w:val="39"/>
    <w:unhideWhenUsed/>
    <w:rsid w:val="00DF128A"/>
    <w:pPr>
      <w:spacing w:line="312" w:lineRule="auto"/>
      <w:ind w:left="240" w:firstLine="709"/>
      <w:jc w:val="both"/>
    </w:pPr>
    <w:rPr>
      <w:rFonts w:ascii="Times New Roman" w:eastAsia="Calibri" w:hAnsi="Times New Roman" w:cs="Times New Roman"/>
      <w:sz w:val="24"/>
    </w:rPr>
  </w:style>
  <w:style w:type="paragraph" w:styleId="Citt">
    <w:name w:val="Quote"/>
    <w:basedOn w:val="Normln"/>
    <w:next w:val="Normln"/>
    <w:link w:val="CittChar1"/>
    <w:uiPriority w:val="29"/>
    <w:qFormat/>
    <w:rsid w:val="00DF128A"/>
    <w:rPr>
      <w:rFonts w:ascii="Times New Roman" w:hAnsi="Times New Roman"/>
      <w:b/>
      <w:iCs/>
      <w:color w:val="000000"/>
      <w:sz w:val="24"/>
    </w:rPr>
  </w:style>
  <w:style w:type="character" w:customStyle="1" w:styleId="CittChar">
    <w:name w:val="Citát Char"/>
    <w:basedOn w:val="Standardnpsmoodstavce"/>
    <w:uiPriority w:val="29"/>
    <w:rsid w:val="00DF128A"/>
    <w:rPr>
      <w:i/>
      <w:iCs/>
      <w:color w:val="000000" w:themeColor="text1"/>
    </w:rPr>
  </w:style>
  <w:style w:type="character" w:customStyle="1" w:styleId="apple-style-span">
    <w:name w:val="apple-style-span"/>
    <w:basedOn w:val="Standardnpsmoodstavce"/>
    <w:rsid w:val="00BC5C10"/>
  </w:style>
  <w:style w:type="character" w:customStyle="1" w:styleId="BezmezerChar">
    <w:name w:val="Bez mezer Char"/>
    <w:aliases w:val="Nadpis Char"/>
    <w:basedOn w:val="Standardnpsmoodstavce"/>
    <w:link w:val="Bezmezer"/>
    <w:uiPriority w:val="1"/>
    <w:rsid w:val="00BD5839"/>
    <w:rPr>
      <w:rFonts w:ascii="Times New Roman" w:eastAsia="Calibri" w:hAnsi="Times New Roman" w:cs="Times New Roman"/>
      <w:b/>
      <w:caps/>
      <w:sz w:val="36"/>
    </w:rPr>
  </w:style>
  <w:style w:type="paragraph" w:styleId="Zhlav">
    <w:name w:val="header"/>
    <w:basedOn w:val="Normln"/>
    <w:link w:val="ZhlavChar"/>
    <w:uiPriority w:val="99"/>
    <w:unhideWhenUsed/>
    <w:rsid w:val="00BD5839"/>
    <w:pPr>
      <w:tabs>
        <w:tab w:val="center" w:pos="4536"/>
        <w:tab w:val="right" w:pos="9072"/>
      </w:tabs>
    </w:pPr>
  </w:style>
  <w:style w:type="character" w:customStyle="1" w:styleId="ZhlavChar">
    <w:name w:val="Záhlaví Char"/>
    <w:basedOn w:val="Standardnpsmoodstavce"/>
    <w:link w:val="Zhlav"/>
    <w:uiPriority w:val="99"/>
    <w:rsid w:val="00BD5839"/>
  </w:style>
  <w:style w:type="paragraph" w:styleId="Nadpisobsahu">
    <w:name w:val="TOC Heading"/>
    <w:basedOn w:val="Nadpis1"/>
    <w:next w:val="Normln"/>
    <w:uiPriority w:val="39"/>
    <w:unhideWhenUsed/>
    <w:qFormat/>
    <w:rsid w:val="00B038A1"/>
    <w:pPr>
      <w:keepLines/>
      <w:spacing w:before="480"/>
      <w:ind w:firstLine="0"/>
      <w:outlineLvl w:val="9"/>
    </w:pPr>
    <w:rPr>
      <w:rFonts w:asciiTheme="majorHAnsi" w:eastAsiaTheme="majorEastAsia" w:hAnsiTheme="majorHAnsi" w:cstheme="majorBidi"/>
      <w:color w:val="365F91" w:themeColor="accent1" w:themeShade="BF"/>
      <w:sz w:val="28"/>
      <w:szCs w:val="28"/>
    </w:rPr>
  </w:style>
  <w:style w:type="paragraph" w:styleId="Obsah3">
    <w:name w:val="toc 3"/>
    <w:basedOn w:val="Normln"/>
    <w:next w:val="Normln"/>
    <w:autoRedefine/>
    <w:uiPriority w:val="39"/>
    <w:unhideWhenUsed/>
    <w:rsid w:val="00B038A1"/>
    <w:pPr>
      <w:spacing w:after="100"/>
      <w:ind w:left="440"/>
    </w:pPr>
  </w:style>
  <w:style w:type="character" w:customStyle="1" w:styleId="apple-converted-space">
    <w:name w:val="apple-converted-space"/>
    <w:basedOn w:val="Standardnpsmoodstavce"/>
    <w:rsid w:val="0016254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uiPriority="35"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Followed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1">
    <w:name w:val="heading 1"/>
    <w:basedOn w:val="Nadpis3"/>
    <w:next w:val="Normln"/>
    <w:link w:val="Nadpis1Char"/>
    <w:qFormat/>
    <w:rsid w:val="00B038A1"/>
    <w:pPr>
      <w:keepNext w:val="0"/>
      <w:widowControl w:val="0"/>
      <w:numPr>
        <w:ilvl w:val="0"/>
        <w:numId w:val="0"/>
      </w:numPr>
      <w:spacing w:before="0" w:after="0" w:line="276" w:lineRule="auto"/>
      <w:ind w:firstLine="709"/>
      <w:jc w:val="center"/>
      <w:outlineLvl w:val="0"/>
    </w:pPr>
    <w:rPr>
      <w:rFonts w:ascii="Times New Roman" w:hAnsi="Times New Roman" w:cs="Times New Roman"/>
      <w:sz w:val="24"/>
      <w:szCs w:val="24"/>
    </w:rPr>
  </w:style>
  <w:style w:type="paragraph" w:styleId="Nadpis2">
    <w:name w:val="heading 2"/>
    <w:basedOn w:val="Normln"/>
    <w:next w:val="Normln"/>
    <w:link w:val="Nadpis2Char"/>
    <w:qFormat/>
    <w:rsid w:val="00DF128A"/>
    <w:pPr>
      <w:keepNext/>
      <w:numPr>
        <w:ilvl w:val="1"/>
        <w:numId w:val="2"/>
      </w:numPr>
      <w:spacing w:before="240" w:after="60"/>
      <w:outlineLvl w:val="1"/>
    </w:pPr>
    <w:rPr>
      <w:rFonts w:ascii="Arial" w:eastAsia="Times New Roman" w:hAnsi="Arial" w:cs="Arial"/>
      <w:b/>
      <w:bCs/>
      <w:i/>
      <w:iCs/>
      <w:sz w:val="28"/>
      <w:szCs w:val="28"/>
      <w:lang w:eastAsia="cs-CZ"/>
    </w:rPr>
  </w:style>
  <w:style w:type="paragraph" w:styleId="Nadpis3">
    <w:name w:val="heading 3"/>
    <w:basedOn w:val="Normln"/>
    <w:next w:val="Normln"/>
    <w:link w:val="Nadpis3Char"/>
    <w:uiPriority w:val="9"/>
    <w:qFormat/>
    <w:rsid w:val="00DF128A"/>
    <w:pPr>
      <w:keepNext/>
      <w:numPr>
        <w:ilvl w:val="2"/>
        <w:numId w:val="2"/>
      </w:numPr>
      <w:tabs>
        <w:tab w:val="clear" w:pos="1571"/>
        <w:tab w:val="num" w:pos="720"/>
      </w:tabs>
      <w:spacing w:before="240" w:after="60"/>
      <w:ind w:left="720"/>
      <w:outlineLvl w:val="2"/>
    </w:pPr>
    <w:rPr>
      <w:rFonts w:ascii="Arial" w:eastAsia="Times New Roman" w:hAnsi="Arial" w:cs="Arial"/>
      <w:b/>
      <w:bCs/>
      <w:sz w:val="26"/>
      <w:szCs w:val="26"/>
      <w:lang w:eastAsia="cs-CZ"/>
    </w:rPr>
  </w:style>
  <w:style w:type="paragraph" w:styleId="Nadpis4">
    <w:name w:val="heading 4"/>
    <w:basedOn w:val="Normln"/>
    <w:next w:val="Normln"/>
    <w:link w:val="Nadpis4Char"/>
    <w:qFormat/>
    <w:rsid w:val="00DF128A"/>
    <w:pPr>
      <w:keepNext/>
      <w:numPr>
        <w:ilvl w:val="3"/>
        <w:numId w:val="2"/>
      </w:numPr>
      <w:spacing w:before="240" w:after="60"/>
      <w:outlineLvl w:val="3"/>
    </w:pPr>
    <w:rPr>
      <w:rFonts w:ascii="Times New Roman" w:eastAsia="Times New Roman" w:hAnsi="Times New Roman" w:cs="Times New Roman"/>
      <w:b/>
      <w:bCs/>
      <w:sz w:val="28"/>
      <w:szCs w:val="28"/>
      <w:lang w:eastAsia="cs-CZ"/>
    </w:rPr>
  </w:style>
  <w:style w:type="paragraph" w:styleId="Nadpis5">
    <w:name w:val="heading 5"/>
    <w:basedOn w:val="Normln"/>
    <w:next w:val="Normln"/>
    <w:link w:val="Nadpis5Char"/>
    <w:qFormat/>
    <w:rsid w:val="00DF128A"/>
    <w:pPr>
      <w:numPr>
        <w:ilvl w:val="4"/>
        <w:numId w:val="2"/>
      </w:numPr>
      <w:spacing w:before="240" w:after="60"/>
      <w:outlineLvl w:val="4"/>
    </w:pPr>
    <w:rPr>
      <w:rFonts w:ascii="Times New Roman" w:eastAsia="Times New Roman" w:hAnsi="Times New Roman" w:cs="Times New Roman"/>
      <w:b/>
      <w:bCs/>
      <w:i/>
      <w:iCs/>
      <w:sz w:val="26"/>
      <w:szCs w:val="26"/>
      <w:lang w:eastAsia="cs-CZ"/>
    </w:rPr>
  </w:style>
  <w:style w:type="paragraph" w:styleId="Nadpis6">
    <w:name w:val="heading 6"/>
    <w:basedOn w:val="Normln"/>
    <w:next w:val="Normln"/>
    <w:link w:val="Nadpis6Char"/>
    <w:qFormat/>
    <w:rsid w:val="00DF128A"/>
    <w:pPr>
      <w:numPr>
        <w:ilvl w:val="5"/>
        <w:numId w:val="2"/>
      </w:numPr>
      <w:spacing w:before="240" w:after="60"/>
      <w:outlineLvl w:val="5"/>
    </w:pPr>
    <w:rPr>
      <w:rFonts w:ascii="Times New Roman" w:eastAsia="Times New Roman" w:hAnsi="Times New Roman" w:cs="Times New Roman"/>
      <w:b/>
      <w:bCs/>
      <w:lang w:eastAsia="cs-CZ"/>
    </w:rPr>
  </w:style>
  <w:style w:type="paragraph" w:styleId="Nadpis7">
    <w:name w:val="heading 7"/>
    <w:basedOn w:val="Normln"/>
    <w:next w:val="Normln"/>
    <w:link w:val="Nadpis7Char"/>
    <w:qFormat/>
    <w:rsid w:val="00DF128A"/>
    <w:pPr>
      <w:numPr>
        <w:ilvl w:val="6"/>
        <w:numId w:val="2"/>
      </w:numPr>
      <w:spacing w:before="240" w:after="60"/>
      <w:outlineLvl w:val="6"/>
    </w:pPr>
    <w:rPr>
      <w:rFonts w:ascii="Times New Roman" w:eastAsia="Times New Roman" w:hAnsi="Times New Roman" w:cs="Times New Roman"/>
      <w:sz w:val="24"/>
      <w:szCs w:val="24"/>
      <w:lang w:eastAsia="cs-CZ"/>
    </w:rPr>
  </w:style>
  <w:style w:type="paragraph" w:styleId="Nadpis8">
    <w:name w:val="heading 8"/>
    <w:basedOn w:val="Normln"/>
    <w:next w:val="Normln"/>
    <w:link w:val="Nadpis8Char"/>
    <w:qFormat/>
    <w:rsid w:val="00DF128A"/>
    <w:pPr>
      <w:numPr>
        <w:ilvl w:val="7"/>
        <w:numId w:val="2"/>
      </w:numPr>
      <w:spacing w:before="240" w:after="60"/>
      <w:outlineLvl w:val="7"/>
    </w:pPr>
    <w:rPr>
      <w:rFonts w:ascii="Times New Roman" w:eastAsia="Times New Roman" w:hAnsi="Times New Roman" w:cs="Times New Roman"/>
      <w:i/>
      <w:iCs/>
      <w:sz w:val="24"/>
      <w:szCs w:val="24"/>
      <w:lang w:eastAsia="cs-CZ"/>
    </w:rPr>
  </w:style>
  <w:style w:type="paragraph" w:styleId="Nadpis9">
    <w:name w:val="heading 9"/>
    <w:basedOn w:val="Normln"/>
    <w:next w:val="Normln"/>
    <w:link w:val="Nadpis9Char"/>
    <w:qFormat/>
    <w:rsid w:val="00DF128A"/>
    <w:pPr>
      <w:numPr>
        <w:ilvl w:val="8"/>
        <w:numId w:val="2"/>
      </w:numPr>
      <w:spacing w:before="240" w:after="60"/>
      <w:outlineLvl w:val="8"/>
    </w:pPr>
    <w:rPr>
      <w:rFonts w:ascii="Arial" w:eastAsia="Times New Roman" w:hAnsi="Arial" w:cs="Arial"/>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DF128A"/>
    <w:pPr>
      <w:ind w:left="720"/>
      <w:contextualSpacing/>
    </w:pPr>
  </w:style>
  <w:style w:type="character" w:customStyle="1" w:styleId="Nadpis1Char">
    <w:name w:val="Nadpis 1 Char"/>
    <w:basedOn w:val="Standardnpsmoodstavce"/>
    <w:link w:val="Nadpis1"/>
    <w:rsid w:val="00B038A1"/>
    <w:rPr>
      <w:rFonts w:ascii="Times New Roman" w:eastAsia="Times New Roman" w:hAnsi="Times New Roman" w:cs="Times New Roman"/>
      <w:b/>
      <w:bCs/>
      <w:sz w:val="24"/>
      <w:szCs w:val="24"/>
      <w:lang w:eastAsia="cs-CZ"/>
    </w:rPr>
  </w:style>
  <w:style w:type="character" w:customStyle="1" w:styleId="Nadpis2Char">
    <w:name w:val="Nadpis 2 Char"/>
    <w:basedOn w:val="Standardnpsmoodstavce"/>
    <w:link w:val="Nadpis2"/>
    <w:rsid w:val="00DF128A"/>
    <w:rPr>
      <w:rFonts w:ascii="Arial" w:eastAsia="Times New Roman" w:hAnsi="Arial" w:cs="Arial"/>
      <w:b/>
      <w:bCs/>
      <w:i/>
      <w:iCs/>
      <w:sz w:val="28"/>
      <w:szCs w:val="28"/>
      <w:lang w:eastAsia="cs-CZ"/>
    </w:rPr>
  </w:style>
  <w:style w:type="character" w:customStyle="1" w:styleId="Nadpis3Char">
    <w:name w:val="Nadpis 3 Char"/>
    <w:basedOn w:val="Standardnpsmoodstavce"/>
    <w:link w:val="Nadpis3"/>
    <w:uiPriority w:val="9"/>
    <w:rsid w:val="00DF128A"/>
    <w:rPr>
      <w:rFonts w:ascii="Arial" w:eastAsia="Times New Roman" w:hAnsi="Arial" w:cs="Arial"/>
      <w:b/>
      <w:bCs/>
      <w:sz w:val="26"/>
      <w:szCs w:val="26"/>
      <w:lang w:eastAsia="cs-CZ"/>
    </w:rPr>
  </w:style>
  <w:style w:type="character" w:customStyle="1" w:styleId="Nadpis4Char">
    <w:name w:val="Nadpis 4 Char"/>
    <w:basedOn w:val="Standardnpsmoodstavce"/>
    <w:link w:val="Nadpis4"/>
    <w:rsid w:val="00DF128A"/>
    <w:rPr>
      <w:rFonts w:ascii="Times New Roman" w:eastAsia="Times New Roman" w:hAnsi="Times New Roman" w:cs="Times New Roman"/>
      <w:b/>
      <w:bCs/>
      <w:sz w:val="28"/>
      <w:szCs w:val="28"/>
      <w:lang w:eastAsia="cs-CZ"/>
    </w:rPr>
  </w:style>
  <w:style w:type="character" w:customStyle="1" w:styleId="Nadpis5Char">
    <w:name w:val="Nadpis 5 Char"/>
    <w:basedOn w:val="Standardnpsmoodstavce"/>
    <w:link w:val="Nadpis5"/>
    <w:rsid w:val="00DF128A"/>
    <w:rPr>
      <w:rFonts w:ascii="Times New Roman" w:eastAsia="Times New Roman" w:hAnsi="Times New Roman" w:cs="Times New Roman"/>
      <w:b/>
      <w:bCs/>
      <w:i/>
      <w:iCs/>
      <w:sz w:val="26"/>
      <w:szCs w:val="26"/>
      <w:lang w:eastAsia="cs-CZ"/>
    </w:rPr>
  </w:style>
  <w:style w:type="character" w:customStyle="1" w:styleId="Nadpis6Char">
    <w:name w:val="Nadpis 6 Char"/>
    <w:basedOn w:val="Standardnpsmoodstavce"/>
    <w:link w:val="Nadpis6"/>
    <w:rsid w:val="00DF128A"/>
    <w:rPr>
      <w:rFonts w:ascii="Times New Roman" w:eastAsia="Times New Roman" w:hAnsi="Times New Roman" w:cs="Times New Roman"/>
      <w:b/>
      <w:bCs/>
      <w:lang w:eastAsia="cs-CZ"/>
    </w:rPr>
  </w:style>
  <w:style w:type="character" w:customStyle="1" w:styleId="Nadpis7Char">
    <w:name w:val="Nadpis 7 Char"/>
    <w:basedOn w:val="Standardnpsmoodstavce"/>
    <w:link w:val="Nadpis7"/>
    <w:rsid w:val="00DF128A"/>
    <w:rPr>
      <w:rFonts w:ascii="Times New Roman" w:eastAsia="Times New Roman" w:hAnsi="Times New Roman" w:cs="Times New Roman"/>
      <w:sz w:val="24"/>
      <w:szCs w:val="24"/>
      <w:lang w:eastAsia="cs-CZ"/>
    </w:rPr>
  </w:style>
  <w:style w:type="character" w:customStyle="1" w:styleId="Nadpis8Char">
    <w:name w:val="Nadpis 8 Char"/>
    <w:basedOn w:val="Standardnpsmoodstavce"/>
    <w:link w:val="Nadpis8"/>
    <w:rsid w:val="00DF128A"/>
    <w:rPr>
      <w:rFonts w:ascii="Times New Roman" w:eastAsia="Times New Roman" w:hAnsi="Times New Roman" w:cs="Times New Roman"/>
      <w:i/>
      <w:iCs/>
      <w:sz w:val="24"/>
      <w:szCs w:val="24"/>
      <w:lang w:eastAsia="cs-CZ"/>
    </w:rPr>
  </w:style>
  <w:style w:type="character" w:customStyle="1" w:styleId="Nadpis9Char">
    <w:name w:val="Nadpis 9 Char"/>
    <w:basedOn w:val="Standardnpsmoodstavce"/>
    <w:link w:val="Nadpis9"/>
    <w:rsid w:val="00DF128A"/>
    <w:rPr>
      <w:rFonts w:ascii="Arial" w:eastAsia="Times New Roman" w:hAnsi="Arial" w:cs="Arial"/>
      <w:lang w:eastAsia="cs-CZ"/>
    </w:rPr>
  </w:style>
  <w:style w:type="paragraph" w:styleId="Textpoznpodarou">
    <w:name w:val="footnote text"/>
    <w:basedOn w:val="Normln"/>
    <w:link w:val="TextpoznpodarouChar"/>
    <w:semiHidden/>
    <w:rsid w:val="00DF128A"/>
    <w:rPr>
      <w:rFonts w:ascii="Times New Roman" w:eastAsia="Times New Roman" w:hAnsi="Times New Roman" w:cs="Times New Roman"/>
      <w:sz w:val="20"/>
      <w:szCs w:val="20"/>
      <w:lang w:eastAsia="cs-CZ"/>
    </w:rPr>
  </w:style>
  <w:style w:type="character" w:customStyle="1" w:styleId="TextpoznpodarouChar">
    <w:name w:val="Text pozn. pod čarou Char"/>
    <w:basedOn w:val="Standardnpsmoodstavce"/>
    <w:link w:val="Textpoznpodarou"/>
    <w:uiPriority w:val="99"/>
    <w:semiHidden/>
    <w:rsid w:val="00DF128A"/>
    <w:rPr>
      <w:rFonts w:ascii="Times New Roman" w:eastAsia="Times New Roman" w:hAnsi="Times New Roman" w:cs="Times New Roman"/>
      <w:sz w:val="20"/>
      <w:szCs w:val="20"/>
      <w:lang w:eastAsia="cs-CZ"/>
    </w:rPr>
  </w:style>
  <w:style w:type="character" w:styleId="Znakapoznpodarou">
    <w:name w:val="footnote reference"/>
    <w:semiHidden/>
    <w:rsid w:val="00DF128A"/>
    <w:rPr>
      <w:vertAlign w:val="superscript"/>
    </w:rPr>
  </w:style>
  <w:style w:type="character" w:styleId="Hypertextovodkaz">
    <w:name w:val="Hyperlink"/>
    <w:uiPriority w:val="99"/>
    <w:rsid w:val="00DF128A"/>
    <w:rPr>
      <w:color w:val="0000FF"/>
      <w:u w:val="single"/>
    </w:rPr>
  </w:style>
  <w:style w:type="character" w:customStyle="1" w:styleId="bottommenu">
    <w:name w:val="bottom_menu"/>
    <w:basedOn w:val="Standardnpsmoodstavce"/>
    <w:rsid w:val="00DF128A"/>
  </w:style>
  <w:style w:type="character" w:styleId="Odkaznakoment">
    <w:name w:val="annotation reference"/>
    <w:unhideWhenUsed/>
    <w:rsid w:val="00DF128A"/>
    <w:rPr>
      <w:sz w:val="16"/>
      <w:szCs w:val="16"/>
    </w:rPr>
  </w:style>
  <w:style w:type="paragraph" w:styleId="Textkomente">
    <w:name w:val="annotation text"/>
    <w:basedOn w:val="Normln"/>
    <w:link w:val="TextkomenteChar"/>
    <w:unhideWhenUsed/>
    <w:rsid w:val="00DF128A"/>
    <w:rPr>
      <w:rFonts w:ascii="Times New Roman" w:eastAsia="Times New Roman" w:hAnsi="Times New Roman" w:cs="Times New Roman"/>
      <w:sz w:val="20"/>
      <w:szCs w:val="20"/>
      <w:lang w:eastAsia="cs-CZ"/>
    </w:rPr>
  </w:style>
  <w:style w:type="character" w:customStyle="1" w:styleId="TextkomenteChar">
    <w:name w:val="Text komentáře Char"/>
    <w:basedOn w:val="Standardnpsmoodstavce"/>
    <w:link w:val="Textkomente"/>
    <w:rsid w:val="00DF128A"/>
    <w:rPr>
      <w:rFonts w:ascii="Times New Roman" w:eastAsia="Times New Roman" w:hAnsi="Times New Roman" w:cs="Times New Roman"/>
      <w:sz w:val="20"/>
      <w:szCs w:val="20"/>
      <w:lang w:eastAsia="cs-CZ"/>
    </w:rPr>
  </w:style>
  <w:style w:type="paragraph" w:styleId="Textbubliny">
    <w:name w:val="Balloon Text"/>
    <w:basedOn w:val="Normln"/>
    <w:link w:val="TextbublinyChar"/>
    <w:uiPriority w:val="99"/>
    <w:semiHidden/>
    <w:unhideWhenUsed/>
    <w:rsid w:val="00DF128A"/>
    <w:rPr>
      <w:rFonts w:ascii="Tahoma" w:hAnsi="Tahoma" w:cs="Tahoma"/>
      <w:sz w:val="16"/>
      <w:szCs w:val="16"/>
    </w:rPr>
  </w:style>
  <w:style w:type="character" w:customStyle="1" w:styleId="TextbublinyChar">
    <w:name w:val="Text bubliny Char"/>
    <w:basedOn w:val="Standardnpsmoodstavce"/>
    <w:link w:val="Textbubliny"/>
    <w:uiPriority w:val="99"/>
    <w:semiHidden/>
    <w:rsid w:val="00DF128A"/>
    <w:rPr>
      <w:rFonts w:ascii="Tahoma" w:hAnsi="Tahoma" w:cs="Tahoma"/>
      <w:sz w:val="16"/>
      <w:szCs w:val="16"/>
    </w:rPr>
  </w:style>
  <w:style w:type="paragraph" w:styleId="Zkladntextodsazen">
    <w:name w:val="Body Text Indent"/>
    <w:basedOn w:val="Normln"/>
    <w:link w:val="ZkladntextodsazenChar"/>
    <w:semiHidden/>
    <w:rsid w:val="00DF128A"/>
    <w:pPr>
      <w:ind w:firstLine="708"/>
      <w:jc w:val="both"/>
    </w:pPr>
    <w:rPr>
      <w:rFonts w:ascii="Times New Roman" w:eastAsia="Times New Roman" w:hAnsi="Times New Roman" w:cs="Times New Roman"/>
      <w:sz w:val="24"/>
      <w:szCs w:val="24"/>
      <w:lang w:eastAsia="cs-CZ"/>
    </w:rPr>
  </w:style>
  <w:style w:type="character" w:customStyle="1" w:styleId="ZkladntextodsazenChar">
    <w:name w:val="Základní text odsazený Char"/>
    <w:basedOn w:val="Standardnpsmoodstavce"/>
    <w:link w:val="Zkladntextodsazen"/>
    <w:semiHidden/>
    <w:rsid w:val="00DF128A"/>
    <w:rPr>
      <w:rFonts w:ascii="Times New Roman" w:eastAsia="Times New Roman" w:hAnsi="Times New Roman" w:cs="Times New Roman"/>
      <w:sz w:val="24"/>
      <w:szCs w:val="24"/>
      <w:lang w:eastAsia="cs-CZ"/>
    </w:rPr>
  </w:style>
  <w:style w:type="paragraph" w:styleId="Zkladntext2">
    <w:name w:val="Body Text 2"/>
    <w:basedOn w:val="Normln"/>
    <w:link w:val="Zkladntext2Char"/>
    <w:semiHidden/>
    <w:rsid w:val="00DF128A"/>
    <w:pPr>
      <w:jc w:val="both"/>
    </w:pPr>
    <w:rPr>
      <w:rFonts w:ascii="Times New Roman" w:eastAsia="Times New Roman" w:hAnsi="Times New Roman" w:cs="Times New Roman"/>
      <w:sz w:val="24"/>
      <w:szCs w:val="24"/>
      <w:lang w:eastAsia="cs-CZ"/>
    </w:rPr>
  </w:style>
  <w:style w:type="character" w:customStyle="1" w:styleId="Zkladntext2Char">
    <w:name w:val="Základní text 2 Char"/>
    <w:basedOn w:val="Standardnpsmoodstavce"/>
    <w:link w:val="Zkladntext2"/>
    <w:semiHidden/>
    <w:rsid w:val="00DF128A"/>
    <w:rPr>
      <w:rFonts w:ascii="Times New Roman" w:eastAsia="Times New Roman" w:hAnsi="Times New Roman" w:cs="Times New Roman"/>
      <w:sz w:val="24"/>
      <w:szCs w:val="24"/>
      <w:lang w:eastAsia="cs-CZ"/>
    </w:rPr>
  </w:style>
  <w:style w:type="paragraph" w:styleId="Zpat">
    <w:name w:val="footer"/>
    <w:basedOn w:val="Normln"/>
    <w:link w:val="ZpatChar"/>
    <w:rsid w:val="00DF128A"/>
    <w:pPr>
      <w:tabs>
        <w:tab w:val="center" w:pos="4536"/>
        <w:tab w:val="right" w:pos="9072"/>
      </w:tabs>
    </w:pPr>
    <w:rPr>
      <w:rFonts w:ascii="Times New Roman" w:eastAsia="Times New Roman" w:hAnsi="Times New Roman" w:cs="Times New Roman"/>
      <w:sz w:val="24"/>
      <w:szCs w:val="24"/>
      <w:lang w:eastAsia="cs-CZ"/>
    </w:rPr>
  </w:style>
  <w:style w:type="character" w:customStyle="1" w:styleId="ZpatChar">
    <w:name w:val="Zápatí Char"/>
    <w:basedOn w:val="Standardnpsmoodstavce"/>
    <w:link w:val="Zpat"/>
    <w:semiHidden/>
    <w:rsid w:val="00DF128A"/>
    <w:rPr>
      <w:rFonts w:ascii="Times New Roman" w:eastAsia="Times New Roman" w:hAnsi="Times New Roman" w:cs="Times New Roman"/>
      <w:sz w:val="24"/>
      <w:szCs w:val="24"/>
      <w:lang w:eastAsia="cs-CZ"/>
    </w:rPr>
  </w:style>
  <w:style w:type="character" w:styleId="slostrnky">
    <w:name w:val="page number"/>
    <w:basedOn w:val="Standardnpsmoodstavce"/>
    <w:rsid w:val="00DF128A"/>
  </w:style>
  <w:style w:type="paragraph" w:styleId="Zkladntextodsazen2">
    <w:name w:val="Body Text Indent 2"/>
    <w:basedOn w:val="Normln"/>
    <w:link w:val="Zkladntextodsazen2Char"/>
    <w:uiPriority w:val="99"/>
    <w:semiHidden/>
    <w:unhideWhenUsed/>
    <w:rsid w:val="00DF128A"/>
    <w:pPr>
      <w:spacing w:after="120" w:line="480" w:lineRule="auto"/>
      <w:ind w:left="283"/>
    </w:pPr>
  </w:style>
  <w:style w:type="character" w:customStyle="1" w:styleId="Zkladntextodsazen2Char">
    <w:name w:val="Základní text odsazený 2 Char"/>
    <w:basedOn w:val="Standardnpsmoodstavce"/>
    <w:link w:val="Zkladntextodsazen2"/>
    <w:uiPriority w:val="99"/>
    <w:semiHidden/>
    <w:rsid w:val="00DF128A"/>
  </w:style>
  <w:style w:type="character" w:styleId="Siln">
    <w:name w:val="Strong"/>
    <w:uiPriority w:val="22"/>
    <w:qFormat/>
    <w:rsid w:val="00DF128A"/>
    <w:rPr>
      <w:b/>
      <w:bCs/>
    </w:rPr>
  </w:style>
  <w:style w:type="paragraph" w:customStyle="1" w:styleId="tabulka">
    <w:name w:val="tabulka"/>
    <w:basedOn w:val="Normln"/>
    <w:rsid w:val="00DF128A"/>
    <w:rPr>
      <w:rFonts w:ascii="Times New Roman" w:eastAsia="Times New Roman" w:hAnsi="Times New Roman" w:cs="Times New Roman"/>
      <w:color w:val="000000"/>
      <w:sz w:val="20"/>
      <w:szCs w:val="24"/>
      <w:lang w:eastAsia="cs-CZ"/>
    </w:rPr>
  </w:style>
  <w:style w:type="character" w:customStyle="1" w:styleId="TEXTCharChar">
    <w:name w:val="TEXT Char Char"/>
    <w:link w:val="TEXTChar"/>
    <w:rsid w:val="00DF128A"/>
    <w:rPr>
      <w:sz w:val="23"/>
      <w:szCs w:val="23"/>
      <w:lang w:bidi="en-US"/>
    </w:rPr>
  </w:style>
  <w:style w:type="paragraph" w:customStyle="1" w:styleId="TEXTChar">
    <w:name w:val="TEXT Char"/>
    <w:basedOn w:val="Normln"/>
    <w:link w:val="TEXTCharChar"/>
    <w:rsid w:val="00DF128A"/>
    <w:pPr>
      <w:spacing w:after="120"/>
      <w:jc w:val="both"/>
    </w:pPr>
    <w:rPr>
      <w:sz w:val="23"/>
      <w:szCs w:val="23"/>
      <w:lang w:bidi="en-US"/>
    </w:rPr>
  </w:style>
  <w:style w:type="paragraph" w:customStyle="1" w:styleId="OBRAZEKStylzarovnnnastedZa0bdkovnNejmn13b">
    <w:name w:val="OBRAZEK Styl zarovnání na střed Za:  0 b. Řádkování:  Nejméně 13 b."/>
    <w:basedOn w:val="Normln"/>
    <w:rsid w:val="00DF128A"/>
    <w:pPr>
      <w:spacing w:before="480" w:line="26" w:lineRule="atLeast"/>
      <w:jc w:val="center"/>
    </w:pPr>
    <w:rPr>
      <w:rFonts w:ascii="Times New Roman" w:eastAsia="Times New Roman" w:hAnsi="Times New Roman" w:cs="Times New Roman"/>
      <w:sz w:val="24"/>
      <w:szCs w:val="20"/>
      <w:lang w:bidi="en-US"/>
    </w:rPr>
  </w:style>
  <w:style w:type="paragraph" w:customStyle="1" w:styleId="PODOBRAZEKStylKurzvadkovnNejmn13b">
    <w:name w:val="POD OBRAZEK Styl Kurzíva Řádkování:  Nejméně 13 b."/>
    <w:basedOn w:val="Normln"/>
    <w:rsid w:val="00DF128A"/>
    <w:pPr>
      <w:spacing w:after="240" w:line="26" w:lineRule="atLeast"/>
      <w:jc w:val="both"/>
    </w:pPr>
    <w:rPr>
      <w:rFonts w:ascii="Times New Roman" w:eastAsia="Times New Roman" w:hAnsi="Times New Roman" w:cs="Times New Roman"/>
      <w:i/>
      <w:iCs/>
      <w:sz w:val="23"/>
      <w:szCs w:val="20"/>
      <w:lang w:bidi="en-US"/>
    </w:rPr>
  </w:style>
  <w:style w:type="paragraph" w:styleId="Zkladntext">
    <w:name w:val="Body Text"/>
    <w:basedOn w:val="Normln"/>
    <w:link w:val="ZkladntextChar"/>
    <w:unhideWhenUsed/>
    <w:rsid w:val="00DF128A"/>
    <w:pPr>
      <w:spacing w:after="120"/>
    </w:pPr>
  </w:style>
  <w:style w:type="character" w:customStyle="1" w:styleId="ZkladntextChar">
    <w:name w:val="Základní text Char"/>
    <w:basedOn w:val="Standardnpsmoodstavce"/>
    <w:link w:val="Zkladntext"/>
    <w:rsid w:val="00DF128A"/>
  </w:style>
  <w:style w:type="paragraph" w:styleId="Zkladntext3">
    <w:name w:val="Body Text 3"/>
    <w:basedOn w:val="Normln"/>
    <w:link w:val="Zkladntext3Char"/>
    <w:uiPriority w:val="99"/>
    <w:semiHidden/>
    <w:unhideWhenUsed/>
    <w:rsid w:val="00DF128A"/>
    <w:pPr>
      <w:spacing w:after="120"/>
    </w:pPr>
    <w:rPr>
      <w:sz w:val="16"/>
      <w:szCs w:val="16"/>
    </w:rPr>
  </w:style>
  <w:style w:type="character" w:customStyle="1" w:styleId="Zkladntext3Char">
    <w:name w:val="Základní text 3 Char"/>
    <w:basedOn w:val="Standardnpsmoodstavce"/>
    <w:link w:val="Zkladntext3"/>
    <w:uiPriority w:val="99"/>
    <w:semiHidden/>
    <w:rsid w:val="00DF128A"/>
    <w:rPr>
      <w:sz w:val="16"/>
      <w:szCs w:val="16"/>
    </w:rPr>
  </w:style>
  <w:style w:type="paragraph" w:styleId="Titulek">
    <w:name w:val="caption"/>
    <w:basedOn w:val="Normln"/>
    <w:next w:val="Normln"/>
    <w:uiPriority w:val="35"/>
    <w:qFormat/>
    <w:rsid w:val="00DF128A"/>
    <w:pPr>
      <w:jc w:val="both"/>
    </w:pPr>
    <w:rPr>
      <w:rFonts w:ascii="Times New Roman" w:eastAsia="Times New Roman" w:hAnsi="Times New Roman" w:cs="Times New Roman"/>
      <w:i/>
      <w:iCs/>
      <w:color w:val="000000"/>
      <w:sz w:val="20"/>
      <w:szCs w:val="24"/>
      <w:lang w:eastAsia="cs-CZ"/>
    </w:rPr>
  </w:style>
  <w:style w:type="character" w:customStyle="1" w:styleId="a">
    <w:name w:val="a"/>
    <w:basedOn w:val="Standardnpsmoodstavce"/>
    <w:rsid w:val="00DF128A"/>
  </w:style>
  <w:style w:type="character" w:styleId="Zvraznn">
    <w:name w:val="Emphasis"/>
    <w:uiPriority w:val="20"/>
    <w:qFormat/>
    <w:rsid w:val="00DF128A"/>
    <w:rPr>
      <w:i/>
      <w:iCs/>
    </w:rPr>
  </w:style>
  <w:style w:type="paragraph" w:styleId="Normlnweb">
    <w:name w:val="Normal (Web)"/>
    <w:basedOn w:val="Normln"/>
    <w:rsid w:val="00DF128A"/>
    <w:pPr>
      <w:spacing w:before="100" w:beforeAutospacing="1" w:after="100" w:afterAutospacing="1"/>
    </w:pPr>
    <w:rPr>
      <w:rFonts w:ascii="Times New Roman" w:eastAsia="Times New Roman" w:hAnsi="Times New Roman" w:cs="Times New Roman"/>
      <w:sz w:val="24"/>
      <w:szCs w:val="24"/>
      <w:lang w:eastAsia="cs-CZ"/>
    </w:rPr>
  </w:style>
  <w:style w:type="character" w:customStyle="1" w:styleId="hit">
    <w:name w:val="hit"/>
    <w:basedOn w:val="Standardnpsmoodstavce"/>
    <w:rsid w:val="00DF128A"/>
  </w:style>
  <w:style w:type="character" w:customStyle="1" w:styleId="bf">
    <w:name w:val="bf"/>
    <w:basedOn w:val="Standardnpsmoodstavce"/>
    <w:rsid w:val="00DF128A"/>
  </w:style>
  <w:style w:type="character" w:customStyle="1" w:styleId="title2">
    <w:name w:val="title2"/>
    <w:rsid w:val="00DF128A"/>
    <w:rPr>
      <w:b/>
      <w:bCs/>
      <w:sz w:val="20"/>
      <w:szCs w:val="20"/>
    </w:rPr>
  </w:style>
  <w:style w:type="paragraph" w:styleId="Obsah1">
    <w:name w:val="toc 1"/>
    <w:basedOn w:val="Normln"/>
    <w:next w:val="Normln"/>
    <w:autoRedefine/>
    <w:uiPriority w:val="39"/>
    <w:rsid w:val="00DF128A"/>
    <w:pPr>
      <w:tabs>
        <w:tab w:val="left" w:pos="480"/>
        <w:tab w:val="right" w:leader="dot" w:pos="9062"/>
      </w:tabs>
      <w:spacing w:before="120" w:after="120" w:line="312" w:lineRule="auto"/>
    </w:pPr>
    <w:rPr>
      <w:rFonts w:ascii="Times New Roman" w:eastAsia="Times New Roman" w:hAnsi="Times New Roman" w:cs="Times New Roman"/>
      <w:sz w:val="24"/>
      <w:szCs w:val="24"/>
      <w:lang w:eastAsia="cs-CZ"/>
    </w:rPr>
  </w:style>
  <w:style w:type="character" w:customStyle="1" w:styleId="text11">
    <w:name w:val="text11"/>
    <w:basedOn w:val="Standardnpsmoodstavce"/>
    <w:rsid w:val="00DF128A"/>
  </w:style>
  <w:style w:type="character" w:customStyle="1" w:styleId="Normln1">
    <w:name w:val="Normální1"/>
    <w:basedOn w:val="Standardnpsmoodstavce"/>
    <w:rsid w:val="00DF128A"/>
  </w:style>
  <w:style w:type="paragraph" w:customStyle="1" w:styleId="NZEVKAPITOLY">
    <w:name w:val="NÁZEV KAPITOLY"/>
    <w:basedOn w:val="Normln"/>
    <w:rsid w:val="00DF128A"/>
    <w:pPr>
      <w:tabs>
        <w:tab w:val="left" w:pos="6300"/>
      </w:tabs>
      <w:autoSpaceDE w:val="0"/>
      <w:autoSpaceDN w:val="0"/>
      <w:adjustRightInd w:val="0"/>
      <w:spacing w:line="360" w:lineRule="auto"/>
    </w:pPr>
    <w:rPr>
      <w:rFonts w:ascii="Times New Roman" w:eastAsia="Times New Roman" w:hAnsi="Times New Roman" w:cs="Times New Roman"/>
      <w:b/>
      <w:caps/>
      <w:sz w:val="28"/>
      <w:szCs w:val="28"/>
      <w:lang w:eastAsia="cs-CZ"/>
    </w:rPr>
  </w:style>
  <w:style w:type="paragraph" w:customStyle="1" w:styleId="NZEVPODKAPITOLY">
    <w:name w:val="NÁZEV PODKAPITOLY"/>
    <w:basedOn w:val="NZEVKAPITOLY"/>
    <w:rsid w:val="00DF128A"/>
    <w:rPr>
      <w:caps w:val="0"/>
    </w:rPr>
  </w:style>
  <w:style w:type="character" w:styleId="Sledovanodkaz">
    <w:name w:val="FollowedHyperlink"/>
    <w:rsid w:val="00DF128A"/>
    <w:rPr>
      <w:color w:val="800080"/>
      <w:u w:val="single"/>
    </w:rPr>
  </w:style>
  <w:style w:type="character" w:customStyle="1" w:styleId="bold1">
    <w:name w:val="bold1"/>
    <w:rsid w:val="00DF128A"/>
    <w:rPr>
      <w:b/>
      <w:bCs/>
    </w:rPr>
  </w:style>
  <w:style w:type="paragraph" w:customStyle="1" w:styleId="Mjtext">
    <w:name w:val="Můj text"/>
    <w:rsid w:val="00DF128A"/>
    <w:pPr>
      <w:spacing w:after="120" w:line="360" w:lineRule="auto"/>
      <w:ind w:firstLine="624"/>
      <w:jc w:val="both"/>
    </w:pPr>
    <w:rPr>
      <w:rFonts w:ascii="Times New Roman" w:eastAsia="Times New Roman" w:hAnsi="Times New Roman" w:cs="Times New Roman"/>
      <w:bCs/>
      <w:szCs w:val="20"/>
      <w:lang w:eastAsia="cs-CZ"/>
    </w:rPr>
  </w:style>
  <w:style w:type="paragraph" w:styleId="Pedmtkomente">
    <w:name w:val="annotation subject"/>
    <w:basedOn w:val="Textkomente"/>
    <w:next w:val="Textkomente"/>
    <w:link w:val="PedmtkomenteChar"/>
    <w:uiPriority w:val="99"/>
    <w:semiHidden/>
    <w:unhideWhenUsed/>
    <w:rsid w:val="00DF128A"/>
    <w:rPr>
      <w:b/>
      <w:bCs/>
    </w:rPr>
  </w:style>
  <w:style w:type="character" w:customStyle="1" w:styleId="PedmtkomenteChar">
    <w:name w:val="Předmět komentáře Char"/>
    <w:basedOn w:val="TextkomenteChar"/>
    <w:link w:val="Pedmtkomente"/>
    <w:uiPriority w:val="99"/>
    <w:semiHidden/>
    <w:rsid w:val="00DF128A"/>
    <w:rPr>
      <w:rFonts w:ascii="Times New Roman" w:eastAsia="Times New Roman" w:hAnsi="Times New Roman" w:cs="Times New Roman"/>
      <w:b/>
      <w:bCs/>
      <w:sz w:val="20"/>
      <w:szCs w:val="20"/>
      <w:lang w:eastAsia="cs-CZ"/>
    </w:rPr>
  </w:style>
  <w:style w:type="paragraph" w:styleId="Bezmezer">
    <w:name w:val="No Spacing"/>
    <w:aliases w:val="Nadpis"/>
    <w:basedOn w:val="Normln"/>
    <w:link w:val="BezmezerChar"/>
    <w:uiPriority w:val="1"/>
    <w:qFormat/>
    <w:rsid w:val="00DF128A"/>
    <w:pPr>
      <w:spacing w:line="312" w:lineRule="auto"/>
      <w:jc w:val="both"/>
    </w:pPr>
    <w:rPr>
      <w:rFonts w:ascii="Times New Roman" w:eastAsia="Calibri" w:hAnsi="Times New Roman" w:cs="Times New Roman"/>
      <w:b/>
      <w:caps/>
      <w:sz w:val="36"/>
    </w:rPr>
  </w:style>
  <w:style w:type="paragraph" w:styleId="Podtitul">
    <w:name w:val="Subtitle"/>
    <w:aliases w:val="Nadpis kapitoly"/>
    <w:basedOn w:val="Normln"/>
    <w:next w:val="Normln"/>
    <w:link w:val="PodtitulChar"/>
    <w:uiPriority w:val="11"/>
    <w:qFormat/>
    <w:rsid w:val="00DF128A"/>
    <w:pPr>
      <w:numPr>
        <w:ilvl w:val="1"/>
      </w:numPr>
      <w:spacing w:line="312" w:lineRule="auto"/>
      <w:jc w:val="both"/>
    </w:pPr>
    <w:rPr>
      <w:rFonts w:ascii="Times New Roman" w:eastAsia="Times New Roman" w:hAnsi="Times New Roman" w:cs="Times New Roman"/>
      <w:b/>
      <w:iCs/>
      <w:caps/>
      <w:spacing w:val="15"/>
      <w:sz w:val="24"/>
      <w:szCs w:val="24"/>
    </w:rPr>
  </w:style>
  <w:style w:type="character" w:customStyle="1" w:styleId="PodtitulChar">
    <w:name w:val="Podtitul Char"/>
    <w:aliases w:val="Nadpis kapitoly Char"/>
    <w:basedOn w:val="Standardnpsmoodstavce"/>
    <w:link w:val="Podtitul"/>
    <w:uiPriority w:val="11"/>
    <w:rsid w:val="00DF128A"/>
    <w:rPr>
      <w:rFonts w:ascii="Times New Roman" w:eastAsia="Times New Roman" w:hAnsi="Times New Roman" w:cs="Times New Roman"/>
      <w:b/>
      <w:iCs/>
      <w:caps/>
      <w:spacing w:val="15"/>
      <w:sz w:val="24"/>
      <w:szCs w:val="24"/>
    </w:rPr>
  </w:style>
  <w:style w:type="paragraph" w:customStyle="1" w:styleId="Nadpispodkapitoly">
    <w:name w:val="Nadpis podkapitoly"/>
    <w:basedOn w:val="Normln"/>
    <w:next w:val="Normln"/>
    <w:uiPriority w:val="29"/>
    <w:qFormat/>
    <w:rsid w:val="00DF128A"/>
    <w:pPr>
      <w:spacing w:line="312" w:lineRule="auto"/>
      <w:jc w:val="both"/>
    </w:pPr>
    <w:rPr>
      <w:rFonts w:ascii="Times New Roman" w:eastAsia="Calibri" w:hAnsi="Times New Roman" w:cs="Times New Roman"/>
      <w:b/>
      <w:iCs/>
      <w:color w:val="000000"/>
      <w:sz w:val="24"/>
    </w:rPr>
  </w:style>
  <w:style w:type="character" w:customStyle="1" w:styleId="CittChar1">
    <w:name w:val="Citát Char1"/>
    <w:link w:val="Citt"/>
    <w:uiPriority w:val="29"/>
    <w:rsid w:val="00DF128A"/>
    <w:rPr>
      <w:rFonts w:ascii="Times New Roman" w:hAnsi="Times New Roman"/>
      <w:b/>
      <w:iCs/>
      <w:color w:val="000000"/>
      <w:sz w:val="24"/>
    </w:rPr>
  </w:style>
  <w:style w:type="paragraph" w:styleId="Obsah2">
    <w:name w:val="toc 2"/>
    <w:basedOn w:val="Normln"/>
    <w:next w:val="Normln"/>
    <w:autoRedefine/>
    <w:uiPriority w:val="39"/>
    <w:unhideWhenUsed/>
    <w:rsid w:val="00DF128A"/>
    <w:pPr>
      <w:spacing w:line="312" w:lineRule="auto"/>
      <w:ind w:left="240" w:firstLine="709"/>
      <w:jc w:val="both"/>
    </w:pPr>
    <w:rPr>
      <w:rFonts w:ascii="Times New Roman" w:eastAsia="Calibri" w:hAnsi="Times New Roman" w:cs="Times New Roman"/>
      <w:sz w:val="24"/>
    </w:rPr>
  </w:style>
  <w:style w:type="paragraph" w:styleId="Citt">
    <w:name w:val="Quote"/>
    <w:basedOn w:val="Normln"/>
    <w:next w:val="Normln"/>
    <w:link w:val="CittChar1"/>
    <w:uiPriority w:val="29"/>
    <w:qFormat/>
    <w:rsid w:val="00DF128A"/>
    <w:rPr>
      <w:rFonts w:ascii="Times New Roman" w:hAnsi="Times New Roman"/>
      <w:b/>
      <w:iCs/>
      <w:color w:val="000000"/>
      <w:sz w:val="24"/>
    </w:rPr>
  </w:style>
  <w:style w:type="character" w:customStyle="1" w:styleId="CittChar">
    <w:name w:val="Citát Char"/>
    <w:basedOn w:val="Standardnpsmoodstavce"/>
    <w:uiPriority w:val="29"/>
    <w:rsid w:val="00DF128A"/>
    <w:rPr>
      <w:i/>
      <w:iCs/>
      <w:color w:val="000000" w:themeColor="text1"/>
    </w:rPr>
  </w:style>
  <w:style w:type="character" w:customStyle="1" w:styleId="apple-style-span">
    <w:name w:val="apple-style-span"/>
    <w:basedOn w:val="Standardnpsmoodstavce"/>
    <w:rsid w:val="00BC5C10"/>
  </w:style>
  <w:style w:type="character" w:customStyle="1" w:styleId="BezmezerChar">
    <w:name w:val="Bez mezer Char"/>
    <w:aliases w:val="Nadpis Char"/>
    <w:basedOn w:val="Standardnpsmoodstavce"/>
    <w:link w:val="Bezmezer"/>
    <w:uiPriority w:val="1"/>
    <w:rsid w:val="00BD5839"/>
    <w:rPr>
      <w:rFonts w:ascii="Times New Roman" w:eastAsia="Calibri" w:hAnsi="Times New Roman" w:cs="Times New Roman"/>
      <w:b/>
      <w:caps/>
      <w:sz w:val="36"/>
    </w:rPr>
  </w:style>
  <w:style w:type="paragraph" w:styleId="Zhlav">
    <w:name w:val="header"/>
    <w:basedOn w:val="Normln"/>
    <w:link w:val="ZhlavChar"/>
    <w:uiPriority w:val="99"/>
    <w:unhideWhenUsed/>
    <w:rsid w:val="00BD5839"/>
    <w:pPr>
      <w:tabs>
        <w:tab w:val="center" w:pos="4536"/>
        <w:tab w:val="right" w:pos="9072"/>
      </w:tabs>
    </w:pPr>
  </w:style>
  <w:style w:type="character" w:customStyle="1" w:styleId="ZhlavChar">
    <w:name w:val="Záhlaví Char"/>
    <w:basedOn w:val="Standardnpsmoodstavce"/>
    <w:link w:val="Zhlav"/>
    <w:uiPriority w:val="99"/>
    <w:rsid w:val="00BD5839"/>
  </w:style>
  <w:style w:type="paragraph" w:styleId="Nadpisobsahu">
    <w:name w:val="TOC Heading"/>
    <w:basedOn w:val="Nadpis1"/>
    <w:next w:val="Normln"/>
    <w:uiPriority w:val="39"/>
    <w:unhideWhenUsed/>
    <w:qFormat/>
    <w:rsid w:val="00B038A1"/>
    <w:pPr>
      <w:keepLines/>
      <w:spacing w:before="480"/>
      <w:ind w:firstLine="0"/>
      <w:outlineLvl w:val="9"/>
    </w:pPr>
    <w:rPr>
      <w:rFonts w:asciiTheme="majorHAnsi" w:eastAsiaTheme="majorEastAsia" w:hAnsiTheme="majorHAnsi" w:cstheme="majorBidi"/>
      <w:color w:val="365F91" w:themeColor="accent1" w:themeShade="BF"/>
      <w:sz w:val="28"/>
      <w:szCs w:val="28"/>
    </w:rPr>
  </w:style>
  <w:style w:type="paragraph" w:styleId="Obsah3">
    <w:name w:val="toc 3"/>
    <w:basedOn w:val="Normln"/>
    <w:next w:val="Normln"/>
    <w:autoRedefine/>
    <w:uiPriority w:val="39"/>
    <w:unhideWhenUsed/>
    <w:rsid w:val="00B038A1"/>
    <w:pPr>
      <w:spacing w:after="100"/>
      <w:ind w:left="440"/>
    </w:pPr>
  </w:style>
  <w:style w:type="character" w:customStyle="1" w:styleId="apple-converted-space">
    <w:name w:val="apple-converted-space"/>
    <w:basedOn w:val="Standardnpsmoodstavce"/>
    <w:rsid w:val="001625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11.jpeg"/><Relationship Id="rId42" Type="http://schemas.openxmlformats.org/officeDocument/2006/relationships/hyperlink" Target="http://www.swissinfo.org/eng/swissinfo.html?siteSect=43&amp;sid=7875915" TargetMode="External"/><Relationship Id="rId47" Type="http://schemas.openxmlformats.org/officeDocument/2006/relationships/image" Target="media/image22.png"/><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hyperlink" Target="http://byznys.lidovky.cz/lecivy-volkswagen-aneb-jak-se-ze-skody-stal-klenot-fsz-/firmy-trhy.asp?c=A110415_093412_firmy-trhy_nev" TargetMode="External"/><Relationship Id="rId89" Type="http://schemas.openxmlformats.org/officeDocument/2006/relationships/hyperlink" Target="http://www.biofuelwatch.org.uk/wp-content/uploads/agrofuels_and_biochar_article.pdf" TargetMode="External"/><Relationship Id="rId7" Type="http://schemas.openxmlformats.org/officeDocument/2006/relationships/webSettings" Target="webSettings.xml"/><Relationship Id="rId71" Type="http://schemas.openxmlformats.org/officeDocument/2006/relationships/image" Target="media/image41.png"/><Relationship Id="rId92" Type="http://schemas.openxmlformats.org/officeDocument/2006/relationships/hyperlink" Target="http://www.economist.com/node/10250420?story_id=10250420" TargetMode="Externa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hyperlink" Target="http://www.kamworld.com/cz/retezce.php?rid=tesco-stores-cr-a-s-&amp;strana=1" TargetMode="External"/><Relationship Id="rId107" Type="http://schemas.openxmlformats.org/officeDocument/2006/relationships/theme" Target="theme/theme1.xml"/><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16.jpeg"/><Relationship Id="rId37" Type="http://schemas.openxmlformats.org/officeDocument/2006/relationships/image" Target="media/image18.png"/><Relationship Id="rId40" Type="http://schemas.openxmlformats.org/officeDocument/2006/relationships/hyperlink" Target="http://www.swissinfo.org/eng/swissinfo.html?siteSect=43&amp;sid=8156064" TargetMode="External"/><Relationship Id="rId45" Type="http://schemas.openxmlformats.org/officeDocument/2006/relationships/image" Target="media/image20.jpeg"/><Relationship Id="rId53" Type="http://schemas.openxmlformats.org/officeDocument/2006/relationships/image" Target="media/image26.jpeg"/><Relationship Id="rId58" Type="http://schemas.openxmlformats.org/officeDocument/2006/relationships/image" Target="media/image30.jpeg"/><Relationship Id="rId66" Type="http://schemas.openxmlformats.org/officeDocument/2006/relationships/image" Target="media/image36.png"/><Relationship Id="rId74" Type="http://schemas.openxmlformats.org/officeDocument/2006/relationships/hyperlink" Target="http://www.skoda-auto.cz/SiteCollectionDocuments/For_investors/CS/Vyrocni_zpravy/SkodaAuto_AnnualReport_2002_CZ.pdf" TargetMode="External"/><Relationship Id="rId79" Type="http://schemas.openxmlformats.org/officeDocument/2006/relationships/hyperlink" Target="http://www.skoda-auto.cz/SiteCollectionDocuments/For_investors/CS/Vyrocni_zpravy/SkodaAuto_AnnualReport_2008_CZ.pdf" TargetMode="External"/><Relationship Id="rId87" Type="http://schemas.openxmlformats.org/officeDocument/2006/relationships/hyperlink" Target="http://byznys.ihned.cz/c1-30893570-dodavatele-skody-auto-musi-kvuli-jejim-odstavkam-prerusit-vyrobu." TargetMode="External"/><Relationship Id="rId102" Type="http://schemas.openxmlformats.org/officeDocument/2006/relationships/footer" Target="footer5.xml"/><Relationship Id="rId5" Type="http://schemas.microsoft.com/office/2007/relationships/stylesWithEffects" Target="stylesWithEffects.xml"/><Relationship Id="rId61" Type="http://schemas.openxmlformats.org/officeDocument/2006/relationships/image" Target="media/image300.jpeg"/><Relationship Id="rId82" Type="http://schemas.openxmlformats.org/officeDocument/2006/relationships/hyperlink" Target="http://www.automatizace.cz/article.php?a=283" TargetMode="External"/><Relationship Id="rId90" Type="http://schemas.openxmlformats.org/officeDocument/2006/relationships/hyperlink" Target="http://redamazon.wordpress.com/2007/11/12/conflict-indigenous-people-palm-oil-conservationist-and-carbon-trading/" TargetMode="External"/><Relationship Id="rId95" Type="http://schemas.openxmlformats.org/officeDocument/2006/relationships/image" Target="media/image46.jpeg"/><Relationship Id="rId19" Type="http://schemas.openxmlformats.org/officeDocument/2006/relationships/image" Target="media/image9.jpe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hyperlink" Target="http://download.mpo.cz/get/26623/26666/295843/priloha001.pdf" TargetMode="External"/><Relationship Id="rId30" Type="http://schemas.openxmlformats.org/officeDocument/2006/relationships/hyperlink" Target="http://ekonomika.idnes.cz/pred-15-lety-otevrel-prvni-cesky-supermarket-fmj-/ekonomika.asp?c=A060801_114604_ekonomika_plz" TargetMode="External"/><Relationship Id="rId35" Type="http://schemas.openxmlformats.org/officeDocument/2006/relationships/hyperlink" Target="http://www.sourcingmag.com/content/what_is_offshoring.asp" TargetMode="External"/><Relationship Id="rId43" Type="http://schemas.openxmlformats.org/officeDocument/2006/relationships/hyperlink" Target="javascript:open_win('swissinfospecial/election.html',%20'elections',%20780,%20400,%20false,%20false,%20false,%20false);" TargetMode="External"/><Relationship Id="rId48" Type="http://schemas.openxmlformats.org/officeDocument/2006/relationships/image" Target="media/image23.png"/><Relationship Id="rId56" Type="http://schemas.openxmlformats.org/officeDocument/2006/relationships/image" Target="media/image29.jpeg"/><Relationship Id="rId64" Type="http://schemas.openxmlformats.org/officeDocument/2006/relationships/image" Target="media/image34.png"/><Relationship Id="rId69" Type="http://schemas.openxmlformats.org/officeDocument/2006/relationships/image" Target="media/image39.png"/><Relationship Id="rId77" Type="http://schemas.openxmlformats.org/officeDocument/2006/relationships/hyperlink" Target="http://www.skoda-auto.cz/SiteCollectionDocuments/For_investors/CS/Vyrocni_zpravy/SkodaAuto_AnnualReport_2006_CZ.pdf" TargetMode="External"/><Relationship Id="rId100" Type="http://schemas.openxmlformats.org/officeDocument/2006/relationships/footer" Target="footer3.xml"/><Relationship Id="rId105"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26.png"/><Relationship Id="rId72" Type="http://schemas.openxmlformats.org/officeDocument/2006/relationships/image" Target="media/image42.png"/><Relationship Id="rId80" Type="http://schemas.openxmlformats.org/officeDocument/2006/relationships/hyperlink" Target="http://www.skoda-auto.cz/SiteCollectionDocuments/For_investors/CS/Vyrocni_zpravy/SkodaAuto_AnnualReport_2009_CZ.pdf" TargetMode="External"/><Relationship Id="rId85" Type="http://schemas.openxmlformats.org/officeDocument/2006/relationships/hyperlink" Target="http://ekonomika.idnes.cz/volkswagen-koupil-49-9-procent-automobilky-porsche-fso-/ekoakcie.aspx?c=A091207_170922_ekoakcie_fih" TargetMode="External"/><Relationship Id="rId93" Type="http://schemas.openxmlformats.org/officeDocument/2006/relationships/image" Target="media/image44.jpeg"/><Relationship Id="rId98" Type="http://schemas.openxmlformats.org/officeDocument/2006/relationships/footer" Target="footer2.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hyperlink" Target="http://www.flextronics.cz/index.php" TargetMode="External"/><Relationship Id="rId25" Type="http://schemas.openxmlformats.org/officeDocument/2006/relationships/image" Target="media/image15.jpeg"/><Relationship Id="rId33" Type="http://schemas.openxmlformats.org/officeDocument/2006/relationships/chart" Target="charts/chart2.xml"/><Relationship Id="rId38" Type="http://schemas.openxmlformats.org/officeDocument/2006/relationships/image" Target="media/image19.wmf"/><Relationship Id="rId46" Type="http://schemas.openxmlformats.org/officeDocument/2006/relationships/image" Target="media/image21.jpeg"/><Relationship Id="rId59" Type="http://schemas.openxmlformats.org/officeDocument/2006/relationships/image" Target="media/image290.jpeg"/><Relationship Id="rId67" Type="http://schemas.openxmlformats.org/officeDocument/2006/relationships/image" Target="media/image37.png"/><Relationship Id="rId103" Type="http://schemas.openxmlformats.org/officeDocument/2006/relationships/header" Target="header2.xml"/><Relationship Id="rId20" Type="http://schemas.openxmlformats.org/officeDocument/2006/relationships/image" Target="media/image10.jpeg"/><Relationship Id="rId41" Type="http://schemas.openxmlformats.org/officeDocument/2006/relationships/hyperlink" Target="http://www.swissinfo.ch/eng/swissinfo.html?siteSect=105&amp;sid=8320557" TargetMode="External"/><Relationship Id="rId54" Type="http://schemas.openxmlformats.org/officeDocument/2006/relationships/image" Target="media/image28.jpeg"/><Relationship Id="rId62" Type="http://schemas.openxmlformats.org/officeDocument/2006/relationships/image" Target="media/image32.png"/><Relationship Id="rId70" Type="http://schemas.openxmlformats.org/officeDocument/2006/relationships/image" Target="media/image40.png"/><Relationship Id="rId75" Type="http://schemas.openxmlformats.org/officeDocument/2006/relationships/hyperlink" Target="http://www.skoda-auto.cz/SiteCollectionDocuments/For_investors/CS/Vyrocni_zpravy/SkodaAuto_AnnualReport_2003_CZ.pdf" TargetMode="External"/><Relationship Id="rId83" Type="http://schemas.openxmlformats.org/officeDocument/2006/relationships/hyperlink" Target="http://www.volkswagenag.com/content/vwcorp/content/en/the_group.html" TargetMode="External"/><Relationship Id="rId88" Type="http://schemas.openxmlformats.org/officeDocument/2006/relationships/image" Target="media/image43.png"/><Relationship Id="rId91" Type="http://schemas.openxmlformats.org/officeDocument/2006/relationships/hyperlink" Target="http://ethanolrfa.org/pages/World-Fuel-Ethanol-Production" TargetMode="External"/><Relationship Id="rId96" Type="http://schemas.openxmlformats.org/officeDocument/2006/relationships/image" Target="media/image47.emf"/><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hyperlink" Target="http://www.hyper.cz" TargetMode="External"/><Relationship Id="rId36" Type="http://schemas.openxmlformats.org/officeDocument/2006/relationships/image" Target="media/image17.wmf"/><Relationship Id="rId49" Type="http://schemas.openxmlformats.org/officeDocument/2006/relationships/image" Target="media/image24.png"/><Relationship Id="rId57" Type="http://schemas.openxmlformats.org/officeDocument/2006/relationships/image" Target="media/image280.jpeg"/><Relationship Id="rId106" Type="http://schemas.openxmlformats.org/officeDocument/2006/relationships/glossaryDocument" Target="glossary/document.xml"/><Relationship Id="rId10" Type="http://schemas.openxmlformats.org/officeDocument/2006/relationships/image" Target="media/image1.jpeg"/><Relationship Id="rId31" Type="http://schemas.openxmlformats.org/officeDocument/2006/relationships/hyperlink" Target="http://www.czso.cz/csu/klasifik.nsf/i/okec" TargetMode="External"/><Relationship Id="rId44" Type="http://schemas.openxmlformats.org/officeDocument/2006/relationships/hyperlink" Target="http://www.swissworld.org/dvd_rom/eng/direct_democracy_2004/content/elections/elections.html" TargetMode="External"/><Relationship Id="rId52" Type="http://schemas.openxmlformats.org/officeDocument/2006/relationships/image" Target="media/image27.jpeg"/><Relationship Id="rId60" Type="http://schemas.openxmlformats.org/officeDocument/2006/relationships/image" Target="media/image31.jpeg"/><Relationship Id="rId65" Type="http://schemas.openxmlformats.org/officeDocument/2006/relationships/image" Target="media/image35.png"/><Relationship Id="rId73" Type="http://schemas.openxmlformats.org/officeDocument/2006/relationships/hyperlink" Target="http://www.skoda-auto.cz/SiteCollectionDocuments/For_investors/CS/Vyrocni_zpravy/SkodaAuto_AnnualReport_2000_CZ.pdf" TargetMode="External"/><Relationship Id="rId78" Type="http://schemas.openxmlformats.org/officeDocument/2006/relationships/hyperlink" Target="http://www.skoda-auto.cz/SiteCollectionDocuments/For_investors/CS/Vyrocni_zpravy/SkodaAuto_AnnualReport_2007_CZ.pdf" TargetMode="External"/><Relationship Id="rId81" Type="http://schemas.openxmlformats.org/officeDocument/2006/relationships/hyperlink" Target="http://www.skoda-auto.cz/SiteCollectionDocuments/For_investors/CS/Vyrocni_zpravy/SkodaAuto_AnnualReport_2010_CZ.pdf" TargetMode="External"/><Relationship Id="rId86" Type="http://schemas.openxmlformats.org/officeDocument/2006/relationships/hyperlink" Target="http://news.autoroad.cz/nezarazeno/14951-asdf/" TargetMode="External"/><Relationship Id="rId94" Type="http://schemas.openxmlformats.org/officeDocument/2006/relationships/image" Target="media/image45.jpeg"/><Relationship Id="rId99" Type="http://schemas.openxmlformats.org/officeDocument/2006/relationships/header" Target="header1.xml"/><Relationship Id="rId101" Type="http://schemas.openxmlformats.org/officeDocument/2006/relationships/footer" Target="footer4.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8.jpeg"/><Relationship Id="rId39" Type="http://schemas.openxmlformats.org/officeDocument/2006/relationships/hyperlink" Target="http://www.osce.org/odihr-elections/item_12_27347.html." TargetMode="External"/><Relationship Id="rId34" Type="http://schemas.openxmlformats.org/officeDocument/2006/relationships/hyperlink" Target="javascript:open_window(%22/F/HQQ2K3QNGMF4Q54DT3SXGVL6JJSGDVF36QJT9RL7P6MS5L9GUM-02491?func=service&amp;doc_number=000392576&amp;line_number=0014&amp;service_type=TAG%22);" TargetMode="External"/><Relationship Id="rId50" Type="http://schemas.openxmlformats.org/officeDocument/2006/relationships/image" Target="media/image25.png"/><Relationship Id="rId55" Type="http://schemas.openxmlformats.org/officeDocument/2006/relationships/image" Target="media/image270.jpeg"/><Relationship Id="rId76" Type="http://schemas.openxmlformats.org/officeDocument/2006/relationships/hyperlink" Target="http://www.skoda-auto.cz/SiteCollectionDocuments/For_investors/CS/Vyrocni_zpravy/SkodaAuto_AnnualReport_2004_CZ.pdf" TargetMode="External"/><Relationship Id="rId97" Type="http://schemas.openxmlformats.org/officeDocument/2006/relationships/footer" Target="footer1.xml"/><Relationship Id="rId104" Type="http://schemas.openxmlformats.org/officeDocument/2006/relationships/footer" Target="footer6.xml"/></Relationships>
</file>

<file path=word/_rels/footer6.xml.rels><?xml version="1.0" encoding="UTF-8" standalone="yes"?>
<Relationships xmlns="http://schemas.openxmlformats.org/package/2006/relationships"><Relationship Id="rId1" Type="http://schemas.openxmlformats.org/officeDocument/2006/relationships/image" Target="media/image48.jpeg"/></Relationships>
</file>

<file path=word/_rels/footnotes.xml.rels><?xml version="1.0" encoding="UTF-8" standalone="yes"?>
<Relationships xmlns="http://schemas.openxmlformats.org/package/2006/relationships"><Relationship Id="rId8" Type="http://schemas.openxmlformats.org/officeDocument/2006/relationships/hyperlink" Target="http://cs.wikipedia.org/wiki/Spojen%C3%A9_st%C3%A1ty_americk%C3%A9" TargetMode="External"/><Relationship Id="rId3" Type="http://schemas.openxmlformats.org/officeDocument/2006/relationships/hyperlink" Target="http://cs.wikipedia.org/wiki/It%C3%A1lie" TargetMode="External"/><Relationship Id="rId7" Type="http://schemas.openxmlformats.org/officeDocument/2006/relationships/hyperlink" Target="http://cs.wikipedia.org/wiki/Spojen%C3%A9_kr%C3%A1lovstv%C3%AD" TargetMode="External"/><Relationship Id="rId2" Type="http://schemas.openxmlformats.org/officeDocument/2006/relationships/hyperlink" Target="http://cs.wikipedia.org/wiki/Francie" TargetMode="External"/><Relationship Id="rId1" Type="http://schemas.openxmlformats.org/officeDocument/2006/relationships/hyperlink" Target="http://www.hyper.cz" TargetMode="External"/><Relationship Id="rId6" Type="http://schemas.openxmlformats.org/officeDocument/2006/relationships/hyperlink" Target="http://cs.wikipedia.org/wiki/N%C4%9Bmecko" TargetMode="External"/><Relationship Id="rId5" Type="http://schemas.openxmlformats.org/officeDocument/2006/relationships/hyperlink" Target="http://cs.wikipedia.org/wiki/Kanada" TargetMode="External"/><Relationship Id="rId10" Type="http://schemas.openxmlformats.org/officeDocument/2006/relationships/hyperlink" Target="http://ethanolrfa.org/pages/World-Fuel-Ethanol-Production" TargetMode="External"/><Relationship Id="rId4" Type="http://schemas.openxmlformats.org/officeDocument/2006/relationships/hyperlink" Target="http://cs.wikipedia.org/wiki/Japonsko" TargetMode="External"/><Relationship Id="rId9" Type="http://schemas.openxmlformats.org/officeDocument/2006/relationships/hyperlink" Target="http://cs.wikipedia.org/wiki/Rusk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8.jpeg"/></Relationships>
</file>

<file path=word/_rels/header2.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image" Target="media/image4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1" i="0" u="none" strike="noStrike" baseline="0">
                <a:solidFill>
                  <a:srgbClr val="000000"/>
                </a:solidFill>
                <a:latin typeface="Arial Narrow"/>
                <a:ea typeface="Arial Narrow"/>
                <a:cs typeface="Arial Narrow"/>
              </a:defRPr>
            </a:pPr>
            <a:r>
              <a:rPr lang="cs-CZ"/>
              <a:t>Nákupní místa potravin dle zájmu spotřebitelů - podíl v %</a:t>
            </a:r>
          </a:p>
        </c:rich>
      </c:tx>
      <c:layout>
        <c:manualLayout>
          <c:xMode val="edge"/>
          <c:yMode val="edge"/>
          <c:x val="0.12660944206008584"/>
          <c:y val="2.1834061135371178E-2"/>
        </c:manualLayout>
      </c:layout>
      <c:overlay val="0"/>
      <c:spPr>
        <a:noFill/>
        <a:ln w="25400">
          <a:noFill/>
        </a:ln>
      </c:spPr>
    </c:title>
    <c:autoTitleDeleted val="0"/>
    <c:plotArea>
      <c:layout>
        <c:manualLayout>
          <c:layoutTarget val="inner"/>
          <c:xMode val="edge"/>
          <c:yMode val="edge"/>
          <c:x val="7.5107296137339061E-2"/>
          <c:y val="0.27510917030567683"/>
          <c:w val="0.90557939914163088"/>
          <c:h val="0.34061135371179041"/>
        </c:manualLayout>
      </c:layout>
      <c:lineChart>
        <c:grouping val="standard"/>
        <c:varyColors val="0"/>
        <c:ser>
          <c:idx val="0"/>
          <c:order val="0"/>
          <c:tx>
            <c:strRef>
              <c:f>List3!$B$90</c:f>
              <c:strCache>
                <c:ptCount val="1"/>
                <c:pt idx="0">
                  <c:v>hypermarket</c:v>
                </c:pt>
              </c:strCache>
            </c:strRef>
          </c:tx>
          <c:spPr>
            <a:ln w="38100">
              <a:solidFill>
                <a:srgbClr val="000000"/>
              </a:solidFill>
              <a:prstDash val="solid"/>
            </a:ln>
          </c:spPr>
          <c:marker>
            <c:symbol val="none"/>
          </c:marker>
          <c:cat>
            <c:numRef>
              <c:f>List3!$A$91:$A$96</c:f>
              <c:numCache>
                <c:formatCode>General</c:formatCode>
                <c:ptCount val="6"/>
                <c:pt idx="0">
                  <c:v>2000</c:v>
                </c:pt>
                <c:pt idx="1">
                  <c:v>2001</c:v>
                </c:pt>
                <c:pt idx="2">
                  <c:v>2002</c:v>
                </c:pt>
                <c:pt idx="3">
                  <c:v>2003</c:v>
                </c:pt>
                <c:pt idx="4">
                  <c:v>2004</c:v>
                </c:pt>
                <c:pt idx="5">
                  <c:v>2005</c:v>
                </c:pt>
              </c:numCache>
            </c:numRef>
          </c:cat>
          <c:val>
            <c:numRef>
              <c:f>List3!$B$91:$B$96</c:f>
              <c:numCache>
                <c:formatCode>General</c:formatCode>
                <c:ptCount val="6"/>
                <c:pt idx="0">
                  <c:v>23</c:v>
                </c:pt>
                <c:pt idx="1">
                  <c:v>25</c:v>
                </c:pt>
                <c:pt idx="2">
                  <c:v>33</c:v>
                </c:pt>
                <c:pt idx="3">
                  <c:v>38</c:v>
                </c:pt>
                <c:pt idx="4">
                  <c:v>34</c:v>
                </c:pt>
                <c:pt idx="5">
                  <c:v>35</c:v>
                </c:pt>
              </c:numCache>
            </c:numRef>
          </c:val>
          <c:smooth val="0"/>
        </c:ser>
        <c:ser>
          <c:idx val="1"/>
          <c:order val="1"/>
          <c:tx>
            <c:strRef>
              <c:f>List3!$C$90</c:f>
              <c:strCache>
                <c:ptCount val="1"/>
                <c:pt idx="0">
                  <c:v>supermarket</c:v>
                </c:pt>
              </c:strCache>
            </c:strRef>
          </c:tx>
          <c:spPr>
            <a:ln w="38100">
              <a:solidFill>
                <a:srgbClr val="969696"/>
              </a:solidFill>
              <a:prstDash val="solid"/>
            </a:ln>
          </c:spPr>
          <c:marker>
            <c:symbol val="none"/>
          </c:marker>
          <c:cat>
            <c:numRef>
              <c:f>List3!$A$91:$A$96</c:f>
              <c:numCache>
                <c:formatCode>General</c:formatCode>
                <c:ptCount val="6"/>
                <c:pt idx="0">
                  <c:v>2000</c:v>
                </c:pt>
                <c:pt idx="1">
                  <c:v>2001</c:v>
                </c:pt>
                <c:pt idx="2">
                  <c:v>2002</c:v>
                </c:pt>
                <c:pt idx="3">
                  <c:v>2003</c:v>
                </c:pt>
                <c:pt idx="4">
                  <c:v>2004</c:v>
                </c:pt>
                <c:pt idx="5">
                  <c:v>2005</c:v>
                </c:pt>
              </c:numCache>
            </c:numRef>
          </c:cat>
          <c:val>
            <c:numRef>
              <c:f>List3!$C$91:$C$96</c:f>
              <c:numCache>
                <c:formatCode>General</c:formatCode>
                <c:ptCount val="6"/>
                <c:pt idx="0">
                  <c:v>26</c:v>
                </c:pt>
                <c:pt idx="1">
                  <c:v>25</c:v>
                </c:pt>
                <c:pt idx="2">
                  <c:v>24</c:v>
                </c:pt>
                <c:pt idx="3">
                  <c:v>19</c:v>
                </c:pt>
                <c:pt idx="4">
                  <c:v>21</c:v>
                </c:pt>
                <c:pt idx="5">
                  <c:v>20</c:v>
                </c:pt>
              </c:numCache>
            </c:numRef>
          </c:val>
          <c:smooth val="0"/>
        </c:ser>
        <c:ser>
          <c:idx val="2"/>
          <c:order val="2"/>
          <c:tx>
            <c:strRef>
              <c:f>List3!$D$90</c:f>
              <c:strCache>
                <c:ptCount val="1"/>
                <c:pt idx="0">
                  <c:v>diskont</c:v>
                </c:pt>
              </c:strCache>
            </c:strRef>
          </c:tx>
          <c:spPr>
            <a:ln w="38100">
              <a:pattFill prst="pct25">
                <a:fgClr>
                  <a:srgbClr val="000000"/>
                </a:fgClr>
                <a:bgClr>
                  <a:srgbClr val="FFFFFF"/>
                </a:bgClr>
              </a:pattFill>
              <a:prstDash val="solid"/>
            </a:ln>
          </c:spPr>
          <c:marker>
            <c:symbol val="none"/>
          </c:marker>
          <c:cat>
            <c:numRef>
              <c:f>List3!$A$91:$A$96</c:f>
              <c:numCache>
                <c:formatCode>General</c:formatCode>
                <c:ptCount val="6"/>
                <c:pt idx="0">
                  <c:v>2000</c:v>
                </c:pt>
                <c:pt idx="1">
                  <c:v>2001</c:v>
                </c:pt>
                <c:pt idx="2">
                  <c:v>2002</c:v>
                </c:pt>
                <c:pt idx="3">
                  <c:v>2003</c:v>
                </c:pt>
                <c:pt idx="4">
                  <c:v>2004</c:v>
                </c:pt>
                <c:pt idx="5">
                  <c:v>2005</c:v>
                </c:pt>
              </c:numCache>
            </c:numRef>
          </c:cat>
          <c:val>
            <c:numRef>
              <c:f>List3!$D$91:$D$96</c:f>
              <c:numCache>
                <c:formatCode>General</c:formatCode>
                <c:ptCount val="6"/>
                <c:pt idx="0">
                  <c:v>15</c:v>
                </c:pt>
                <c:pt idx="1">
                  <c:v>15</c:v>
                </c:pt>
                <c:pt idx="2">
                  <c:v>16</c:v>
                </c:pt>
                <c:pt idx="3">
                  <c:v>19</c:v>
                </c:pt>
                <c:pt idx="4">
                  <c:v>18</c:v>
                </c:pt>
                <c:pt idx="5">
                  <c:v>22</c:v>
                </c:pt>
              </c:numCache>
            </c:numRef>
          </c:val>
          <c:smooth val="0"/>
        </c:ser>
        <c:ser>
          <c:idx val="3"/>
          <c:order val="3"/>
          <c:tx>
            <c:strRef>
              <c:f>List3!$E$90</c:f>
              <c:strCache>
                <c:ptCount val="1"/>
                <c:pt idx="0">
                  <c:v>menší prodejna</c:v>
                </c:pt>
              </c:strCache>
            </c:strRef>
          </c:tx>
          <c:spPr>
            <a:ln w="38100">
              <a:pattFill prst="pct75">
                <a:fgClr>
                  <a:srgbClr val="000000"/>
                </a:fgClr>
                <a:bgClr>
                  <a:srgbClr val="FFFFFF"/>
                </a:bgClr>
              </a:pattFill>
              <a:prstDash val="solid"/>
            </a:ln>
          </c:spPr>
          <c:marker>
            <c:symbol val="none"/>
          </c:marker>
          <c:cat>
            <c:numRef>
              <c:f>List3!$A$91:$A$96</c:f>
              <c:numCache>
                <c:formatCode>General</c:formatCode>
                <c:ptCount val="6"/>
                <c:pt idx="0">
                  <c:v>2000</c:v>
                </c:pt>
                <c:pt idx="1">
                  <c:v>2001</c:v>
                </c:pt>
                <c:pt idx="2">
                  <c:v>2002</c:v>
                </c:pt>
                <c:pt idx="3">
                  <c:v>2003</c:v>
                </c:pt>
                <c:pt idx="4">
                  <c:v>2004</c:v>
                </c:pt>
                <c:pt idx="5">
                  <c:v>2005</c:v>
                </c:pt>
              </c:numCache>
            </c:numRef>
          </c:cat>
          <c:val>
            <c:numRef>
              <c:f>List3!$E$91:$E$96</c:f>
              <c:numCache>
                <c:formatCode>General</c:formatCode>
                <c:ptCount val="6"/>
                <c:pt idx="0">
                  <c:v>34</c:v>
                </c:pt>
                <c:pt idx="1">
                  <c:v>33</c:v>
                </c:pt>
                <c:pt idx="2">
                  <c:v>25</c:v>
                </c:pt>
                <c:pt idx="3">
                  <c:v>23</c:v>
                </c:pt>
                <c:pt idx="4">
                  <c:v>25</c:v>
                </c:pt>
                <c:pt idx="5">
                  <c:v>20</c:v>
                </c:pt>
              </c:numCache>
            </c:numRef>
          </c:val>
          <c:smooth val="0"/>
        </c:ser>
        <c:ser>
          <c:idx val="4"/>
          <c:order val="4"/>
          <c:tx>
            <c:strRef>
              <c:f>List3!$F$90</c:f>
              <c:strCache>
                <c:ptCount val="1"/>
                <c:pt idx="0">
                  <c:v>ostatní</c:v>
                </c:pt>
              </c:strCache>
            </c:strRef>
          </c:tx>
          <c:spPr>
            <a:ln w="38100">
              <a:solidFill>
                <a:srgbClr val="000000"/>
              </a:solidFill>
              <a:prstDash val="sysDash"/>
            </a:ln>
          </c:spPr>
          <c:marker>
            <c:symbol val="none"/>
          </c:marker>
          <c:cat>
            <c:numRef>
              <c:f>List3!$A$91:$A$96</c:f>
              <c:numCache>
                <c:formatCode>General</c:formatCode>
                <c:ptCount val="6"/>
                <c:pt idx="0">
                  <c:v>2000</c:v>
                </c:pt>
                <c:pt idx="1">
                  <c:v>2001</c:v>
                </c:pt>
                <c:pt idx="2">
                  <c:v>2002</c:v>
                </c:pt>
                <c:pt idx="3">
                  <c:v>2003</c:v>
                </c:pt>
                <c:pt idx="4">
                  <c:v>2004</c:v>
                </c:pt>
                <c:pt idx="5">
                  <c:v>2005</c:v>
                </c:pt>
              </c:numCache>
            </c:numRef>
          </c:cat>
          <c:val>
            <c:numRef>
              <c:f>List3!$F$91:$F$96</c:f>
              <c:numCache>
                <c:formatCode>General</c:formatCode>
                <c:ptCount val="6"/>
                <c:pt idx="0">
                  <c:v>2</c:v>
                </c:pt>
                <c:pt idx="1">
                  <c:v>2</c:v>
                </c:pt>
                <c:pt idx="2">
                  <c:v>2</c:v>
                </c:pt>
                <c:pt idx="3">
                  <c:v>2</c:v>
                </c:pt>
                <c:pt idx="4">
                  <c:v>2</c:v>
                </c:pt>
                <c:pt idx="5">
                  <c:v>4</c:v>
                </c:pt>
              </c:numCache>
            </c:numRef>
          </c:val>
          <c:smooth val="0"/>
        </c:ser>
        <c:dLbls>
          <c:showLegendKey val="0"/>
          <c:showVal val="0"/>
          <c:showCatName val="0"/>
          <c:showSerName val="0"/>
          <c:showPercent val="0"/>
          <c:showBubbleSize val="0"/>
        </c:dLbls>
        <c:marker val="1"/>
        <c:smooth val="0"/>
        <c:axId val="229726464"/>
        <c:axId val="229736448"/>
      </c:lineChart>
      <c:catAx>
        <c:axId val="229726464"/>
        <c:scaling>
          <c:orientation val="minMax"/>
        </c:scaling>
        <c:delete val="0"/>
        <c:axPos val="b"/>
        <c:majorGridlines>
          <c:spPr>
            <a:ln w="3175">
              <a:solidFill>
                <a:srgbClr val="969696"/>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Narrow"/>
                <a:ea typeface="Arial Narrow"/>
                <a:cs typeface="Arial Narrow"/>
              </a:defRPr>
            </a:pPr>
            <a:endParaRPr lang="cs-CZ"/>
          </a:p>
        </c:txPr>
        <c:crossAx val="229736448"/>
        <c:crosses val="autoZero"/>
        <c:auto val="1"/>
        <c:lblAlgn val="ctr"/>
        <c:lblOffset val="100"/>
        <c:tickLblSkip val="1"/>
        <c:tickMarkSkip val="1"/>
        <c:noMultiLvlLbl val="0"/>
      </c:catAx>
      <c:valAx>
        <c:axId val="229736448"/>
        <c:scaling>
          <c:orientation val="minMax"/>
        </c:scaling>
        <c:delete val="0"/>
        <c:axPos val="l"/>
        <c:majorGridlines>
          <c:spPr>
            <a:ln w="3175">
              <a:solidFill>
                <a:srgbClr val="969696"/>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Narrow"/>
                <a:ea typeface="Arial Narrow"/>
                <a:cs typeface="Arial Narrow"/>
              </a:defRPr>
            </a:pPr>
            <a:endParaRPr lang="cs-CZ"/>
          </a:p>
        </c:txPr>
        <c:crossAx val="229726464"/>
        <c:crosses val="autoZero"/>
        <c:crossBetween val="between"/>
      </c:valAx>
      <c:spPr>
        <a:solidFill>
          <a:srgbClr val="FFFFFF"/>
        </a:solidFill>
        <a:ln w="3175">
          <a:solidFill>
            <a:srgbClr val="000000"/>
          </a:solidFill>
          <a:prstDash val="solid"/>
        </a:ln>
      </c:spPr>
    </c:plotArea>
    <c:legend>
      <c:legendPos val="b"/>
      <c:layout>
        <c:manualLayout>
          <c:xMode val="edge"/>
          <c:yMode val="edge"/>
          <c:x val="0.12875536480686695"/>
          <c:y val="0.79039301310043664"/>
          <c:w val="0.78969957081545061"/>
          <c:h val="0.1965065502183406"/>
        </c:manualLayout>
      </c:layout>
      <c:overlay val="0"/>
      <c:spPr>
        <a:solidFill>
          <a:srgbClr val="FFFFFF"/>
        </a:solidFill>
        <a:ln w="3175">
          <a:solidFill>
            <a:srgbClr val="000000"/>
          </a:solidFill>
          <a:prstDash val="solid"/>
        </a:ln>
      </c:spPr>
      <c:txPr>
        <a:bodyPr/>
        <a:lstStyle/>
        <a:p>
          <a:pPr>
            <a:defRPr sz="920" b="0" i="0" u="none" strike="noStrike" baseline="0">
              <a:solidFill>
                <a:srgbClr val="000000"/>
              </a:solidFill>
              <a:latin typeface="Arial Narrow"/>
              <a:ea typeface="Arial Narrow"/>
              <a:cs typeface="Arial Narrow"/>
            </a:defRPr>
          </a:pPr>
          <a:endParaRPr lang="cs-CZ"/>
        </a:p>
      </c:tx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Narrow"/>
          <a:ea typeface="Arial Narrow"/>
          <a:cs typeface="Arial Narrow"/>
        </a:defRPr>
      </a:pPr>
      <a:endParaRPr lang="cs-C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b="1" i="0" u="none" strike="noStrike" baseline="0">
                <a:solidFill>
                  <a:srgbClr val="000000"/>
                </a:solidFill>
                <a:latin typeface="Arial"/>
                <a:ea typeface="Arial"/>
                <a:cs typeface="Arial"/>
              </a:defRPr>
            </a:pPr>
            <a:r>
              <a:rPr lang="cs-CZ"/>
              <a:t>Růst počtu obyvatel největších indických měst v období 1991-2008</a:t>
            </a:r>
          </a:p>
        </c:rich>
      </c:tx>
      <c:layout>
        <c:manualLayout>
          <c:xMode val="edge"/>
          <c:yMode val="edge"/>
          <c:x val="5.0251256281407038E-2"/>
          <c:y val="2.0761245674740483E-2"/>
        </c:manualLayout>
      </c:layout>
      <c:overlay val="0"/>
      <c:spPr>
        <a:noFill/>
        <a:ln w="25399">
          <a:noFill/>
        </a:ln>
      </c:spPr>
    </c:title>
    <c:autoTitleDeleted val="0"/>
    <c:plotArea>
      <c:layout>
        <c:manualLayout>
          <c:layoutTarget val="inner"/>
          <c:xMode val="edge"/>
          <c:yMode val="edge"/>
          <c:x val="0.12060301507537688"/>
          <c:y val="0.22837370242214533"/>
          <c:w val="0.63316582914572861"/>
          <c:h val="0.62283737024221453"/>
        </c:manualLayout>
      </c:layout>
      <c:lineChart>
        <c:grouping val="standard"/>
        <c:varyColors val="0"/>
        <c:ser>
          <c:idx val="0"/>
          <c:order val="0"/>
          <c:tx>
            <c:strRef>
              <c:f>List1!$O$3</c:f>
              <c:strCache>
                <c:ptCount val="1"/>
                <c:pt idx="0">
                  <c:v>Mumbai </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List1!$P$2:$R$2</c:f>
              <c:numCache>
                <c:formatCode>General</c:formatCode>
                <c:ptCount val="3"/>
                <c:pt idx="0">
                  <c:v>1991</c:v>
                </c:pt>
                <c:pt idx="1">
                  <c:v>2001</c:v>
                </c:pt>
                <c:pt idx="2">
                  <c:v>2008</c:v>
                </c:pt>
              </c:numCache>
            </c:numRef>
          </c:cat>
          <c:val>
            <c:numRef>
              <c:f>List1!$P$3:$R$3</c:f>
              <c:numCache>
                <c:formatCode>0.00</c:formatCode>
                <c:ptCount val="3"/>
                <c:pt idx="0" formatCode="General">
                  <c:v>100</c:v>
                </c:pt>
                <c:pt idx="1">
                  <c:v>120.67883880651118</c:v>
                </c:pt>
                <c:pt idx="2">
                  <c:v>137.64895262299376</c:v>
                </c:pt>
              </c:numCache>
            </c:numRef>
          </c:val>
          <c:smooth val="0"/>
        </c:ser>
        <c:ser>
          <c:idx val="1"/>
          <c:order val="1"/>
          <c:tx>
            <c:strRef>
              <c:f>List1!$O$4</c:f>
              <c:strCache>
                <c:ptCount val="1"/>
                <c:pt idx="0">
                  <c:v>Dillí </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List1!$P$2:$R$2</c:f>
              <c:numCache>
                <c:formatCode>General</c:formatCode>
                <c:ptCount val="3"/>
                <c:pt idx="0">
                  <c:v>1991</c:v>
                </c:pt>
                <c:pt idx="1">
                  <c:v>2001</c:v>
                </c:pt>
                <c:pt idx="2">
                  <c:v>2008</c:v>
                </c:pt>
              </c:numCache>
            </c:numRef>
          </c:cat>
          <c:val>
            <c:numRef>
              <c:f>List1!$P$4:$R$4</c:f>
              <c:numCache>
                <c:formatCode>0.00</c:formatCode>
                <c:ptCount val="3"/>
                <c:pt idx="0" formatCode="General">
                  <c:v>100</c:v>
                </c:pt>
                <c:pt idx="1">
                  <c:v>137.08308264082999</c:v>
                </c:pt>
                <c:pt idx="2">
                  <c:v>165.87634236122366</c:v>
                </c:pt>
              </c:numCache>
            </c:numRef>
          </c:val>
          <c:smooth val="0"/>
        </c:ser>
        <c:ser>
          <c:idx val="2"/>
          <c:order val="2"/>
          <c:tx>
            <c:strRef>
              <c:f>List1!$O$5</c:f>
              <c:strCache>
                <c:ptCount val="1"/>
                <c:pt idx="0">
                  <c:v>Kolkata </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List1!$P$2:$R$2</c:f>
              <c:numCache>
                <c:formatCode>General</c:formatCode>
                <c:ptCount val="3"/>
                <c:pt idx="0">
                  <c:v>1991</c:v>
                </c:pt>
                <c:pt idx="1">
                  <c:v>2001</c:v>
                </c:pt>
                <c:pt idx="2">
                  <c:v>2008</c:v>
                </c:pt>
              </c:numCache>
            </c:numRef>
          </c:cat>
          <c:val>
            <c:numRef>
              <c:f>List1!$P$5:$R$5</c:f>
              <c:numCache>
                <c:formatCode>0.00</c:formatCode>
                <c:ptCount val="3"/>
                <c:pt idx="0" formatCode="General">
                  <c:v>100</c:v>
                </c:pt>
                <c:pt idx="1">
                  <c:v>103.9332754370123</c:v>
                </c:pt>
                <c:pt idx="2">
                  <c:v>114.12874029590763</c:v>
                </c:pt>
              </c:numCache>
            </c:numRef>
          </c:val>
          <c:smooth val="0"/>
        </c:ser>
        <c:ser>
          <c:idx val="3"/>
          <c:order val="3"/>
          <c:tx>
            <c:strRef>
              <c:f>List1!$O$6</c:f>
              <c:strCache>
                <c:ptCount val="1"/>
                <c:pt idx="0">
                  <c:v>Čennaj </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List1!$P$2:$R$2</c:f>
              <c:numCache>
                <c:formatCode>General</c:formatCode>
                <c:ptCount val="3"/>
                <c:pt idx="0">
                  <c:v>1991</c:v>
                </c:pt>
                <c:pt idx="1">
                  <c:v>2001</c:v>
                </c:pt>
                <c:pt idx="2">
                  <c:v>2008</c:v>
                </c:pt>
              </c:numCache>
            </c:numRef>
          </c:cat>
          <c:val>
            <c:numRef>
              <c:f>List1!$P$6:$R$6</c:f>
              <c:numCache>
                <c:formatCode>0.00</c:formatCode>
                <c:ptCount val="3"/>
                <c:pt idx="0" formatCode="General">
                  <c:v>100</c:v>
                </c:pt>
                <c:pt idx="1">
                  <c:v>113.0746478623917</c:v>
                </c:pt>
                <c:pt idx="2">
                  <c:v>118.78085466845907</c:v>
                </c:pt>
              </c:numCache>
            </c:numRef>
          </c:val>
          <c:smooth val="0"/>
        </c:ser>
        <c:ser>
          <c:idx val="4"/>
          <c:order val="4"/>
          <c:tx>
            <c:strRef>
              <c:f>List1!$O$7</c:f>
              <c:strCache>
                <c:ptCount val="1"/>
                <c:pt idx="0">
                  <c:v>Hajdarábád </c:v>
                </c:pt>
              </c:strCache>
            </c:strRef>
          </c:tx>
          <c:spPr>
            <a:ln w="12700">
              <a:solidFill>
                <a:srgbClr val="CC99FF"/>
              </a:solidFill>
              <a:prstDash val="solid"/>
            </a:ln>
          </c:spPr>
          <c:marker>
            <c:symbol val="circle"/>
            <c:size val="4"/>
            <c:spPr>
              <a:solidFill>
                <a:srgbClr val="CC99FF"/>
              </a:solidFill>
              <a:ln>
                <a:solidFill>
                  <a:srgbClr val="CC99FF"/>
                </a:solidFill>
                <a:prstDash val="solid"/>
              </a:ln>
            </c:spPr>
          </c:marker>
          <c:cat>
            <c:numRef>
              <c:f>List1!$P$2:$R$2</c:f>
              <c:numCache>
                <c:formatCode>General</c:formatCode>
                <c:ptCount val="3"/>
                <c:pt idx="0">
                  <c:v>1991</c:v>
                </c:pt>
                <c:pt idx="1">
                  <c:v>2001</c:v>
                </c:pt>
                <c:pt idx="2">
                  <c:v>2008</c:v>
                </c:pt>
              </c:numCache>
            </c:numRef>
          </c:cat>
          <c:val>
            <c:numRef>
              <c:f>List1!$P$7:$R$7</c:f>
              <c:numCache>
                <c:formatCode>0.00</c:formatCode>
                <c:ptCount val="3"/>
                <c:pt idx="0" formatCode="General">
                  <c:v>100</c:v>
                </c:pt>
                <c:pt idx="1">
                  <c:v>119.50089621984456</c:v>
                </c:pt>
                <c:pt idx="2">
                  <c:v>130.78429749242417</c:v>
                </c:pt>
              </c:numCache>
            </c:numRef>
          </c:val>
          <c:smooth val="0"/>
        </c:ser>
        <c:ser>
          <c:idx val="5"/>
          <c:order val="5"/>
          <c:tx>
            <c:strRef>
              <c:f>List1!$O$8</c:f>
              <c:strCache>
                <c:ptCount val="1"/>
                <c:pt idx="0">
                  <c:v>Ahmadábád </c:v>
                </c:pt>
              </c:strCache>
            </c:strRef>
          </c:tx>
          <c:spPr>
            <a:ln w="12700">
              <a:solidFill>
                <a:srgbClr val="800000"/>
              </a:solidFill>
              <a:prstDash val="solid"/>
            </a:ln>
          </c:spPr>
          <c:marker>
            <c:symbol val="circle"/>
            <c:size val="4"/>
            <c:spPr>
              <a:solidFill>
                <a:srgbClr val="800000"/>
              </a:solidFill>
              <a:ln>
                <a:solidFill>
                  <a:srgbClr val="800000"/>
                </a:solidFill>
                <a:prstDash val="solid"/>
              </a:ln>
            </c:spPr>
          </c:marker>
          <c:cat>
            <c:numRef>
              <c:f>List1!$P$2:$R$2</c:f>
              <c:numCache>
                <c:formatCode>General</c:formatCode>
                <c:ptCount val="3"/>
                <c:pt idx="0">
                  <c:v>1991</c:v>
                </c:pt>
                <c:pt idx="1">
                  <c:v>2001</c:v>
                </c:pt>
                <c:pt idx="2">
                  <c:v>2008</c:v>
                </c:pt>
              </c:numCache>
            </c:numRef>
          </c:cat>
          <c:val>
            <c:numRef>
              <c:f>List1!$P$8:$R$8</c:f>
              <c:numCache>
                <c:formatCode>0.00</c:formatCode>
                <c:ptCount val="3"/>
                <c:pt idx="0" formatCode="General">
                  <c:v>100</c:v>
                </c:pt>
                <c:pt idx="1">
                  <c:v>122.36495858115694</c:v>
                </c:pt>
                <c:pt idx="2">
                  <c:v>134.43607454348893</c:v>
                </c:pt>
              </c:numCache>
            </c:numRef>
          </c:val>
          <c:smooth val="0"/>
        </c:ser>
        <c:ser>
          <c:idx val="6"/>
          <c:order val="6"/>
          <c:tx>
            <c:strRef>
              <c:f>List1!$O$9</c:f>
              <c:strCache>
                <c:ptCount val="1"/>
                <c:pt idx="0">
                  <c:v>Béngalúru </c:v>
                </c:pt>
              </c:strCache>
            </c:strRef>
          </c:tx>
          <c:spPr>
            <a:ln w="12700">
              <a:solidFill>
                <a:srgbClr val="FF0000"/>
              </a:solidFill>
              <a:prstDash val="solid"/>
            </a:ln>
          </c:spPr>
          <c:marker>
            <c:symbol val="circle"/>
            <c:size val="4"/>
            <c:spPr>
              <a:solidFill>
                <a:srgbClr val="FF0000"/>
              </a:solidFill>
              <a:ln>
                <a:solidFill>
                  <a:srgbClr val="FF0000"/>
                </a:solidFill>
                <a:prstDash val="solid"/>
              </a:ln>
            </c:spPr>
          </c:marker>
          <c:cat>
            <c:numRef>
              <c:f>List1!$P$2:$R$2</c:f>
              <c:numCache>
                <c:formatCode>General</c:formatCode>
                <c:ptCount val="3"/>
                <c:pt idx="0">
                  <c:v>1991</c:v>
                </c:pt>
                <c:pt idx="1">
                  <c:v>2001</c:v>
                </c:pt>
                <c:pt idx="2">
                  <c:v>2008</c:v>
                </c:pt>
              </c:numCache>
            </c:numRef>
          </c:cat>
          <c:val>
            <c:numRef>
              <c:f>List1!$P$9:$R$9</c:f>
              <c:numCache>
                <c:formatCode>0.00</c:formatCode>
                <c:ptCount val="3"/>
                <c:pt idx="0" formatCode="General">
                  <c:v>100</c:v>
                </c:pt>
                <c:pt idx="1">
                  <c:v>161.69863553386205</c:v>
                </c:pt>
                <c:pt idx="2">
                  <c:v>194.75043682765383</c:v>
                </c:pt>
              </c:numCache>
            </c:numRef>
          </c:val>
          <c:smooth val="0"/>
        </c:ser>
        <c:ser>
          <c:idx val="7"/>
          <c:order val="7"/>
          <c:tx>
            <c:strRef>
              <c:f>List1!$O$10</c:f>
              <c:strCache>
                <c:ptCount val="1"/>
                <c:pt idx="0">
                  <c:v>Kánpur</c:v>
                </c:pt>
              </c:strCache>
            </c:strRef>
          </c:tx>
          <c:spPr>
            <a:ln w="12700">
              <a:solidFill>
                <a:srgbClr val="0000FF"/>
              </a:solidFill>
              <a:prstDash val="solid"/>
            </a:ln>
          </c:spPr>
          <c:marker>
            <c:symbol val="circle"/>
            <c:size val="4"/>
            <c:spPr>
              <a:solidFill>
                <a:srgbClr val="0000FF"/>
              </a:solidFill>
              <a:ln>
                <a:solidFill>
                  <a:srgbClr val="0000FF"/>
                </a:solidFill>
                <a:prstDash val="solid"/>
              </a:ln>
            </c:spPr>
          </c:marker>
          <c:cat>
            <c:numRef>
              <c:f>List1!$P$2:$R$2</c:f>
              <c:numCache>
                <c:formatCode>General</c:formatCode>
                <c:ptCount val="3"/>
                <c:pt idx="0">
                  <c:v>1991</c:v>
                </c:pt>
                <c:pt idx="1">
                  <c:v>2001</c:v>
                </c:pt>
                <c:pt idx="2">
                  <c:v>2008</c:v>
                </c:pt>
              </c:numCache>
            </c:numRef>
          </c:cat>
          <c:val>
            <c:numRef>
              <c:f>List1!$P$10:$R$10</c:f>
              <c:numCache>
                <c:formatCode>0.00</c:formatCode>
                <c:ptCount val="3"/>
                <c:pt idx="0" formatCode="General">
                  <c:v>100</c:v>
                </c:pt>
                <c:pt idx="1">
                  <c:v>136.11420986561632</c:v>
                </c:pt>
                <c:pt idx="2">
                  <c:v>163.66027905329094</c:v>
                </c:pt>
              </c:numCache>
            </c:numRef>
          </c:val>
          <c:smooth val="0"/>
        </c:ser>
        <c:ser>
          <c:idx val="8"/>
          <c:order val="8"/>
          <c:tx>
            <c:strRef>
              <c:f>List1!$O$11</c:f>
              <c:strCache>
                <c:ptCount val="1"/>
                <c:pt idx="0">
                  <c:v>Nágpur</c:v>
                </c:pt>
              </c:strCache>
            </c:strRef>
          </c:tx>
          <c:spPr>
            <a:ln w="12700">
              <a:solidFill>
                <a:srgbClr val="008000"/>
              </a:solidFill>
              <a:prstDash val="solid"/>
            </a:ln>
          </c:spPr>
          <c:marker>
            <c:symbol val="circle"/>
            <c:size val="4"/>
            <c:spPr>
              <a:solidFill>
                <a:srgbClr val="008000"/>
              </a:solidFill>
              <a:ln>
                <a:solidFill>
                  <a:srgbClr val="008000"/>
                </a:solidFill>
                <a:prstDash val="solid"/>
              </a:ln>
            </c:spPr>
          </c:marker>
          <c:cat>
            <c:numRef>
              <c:f>List1!$P$2:$R$2</c:f>
              <c:numCache>
                <c:formatCode>General</c:formatCode>
                <c:ptCount val="3"/>
                <c:pt idx="0">
                  <c:v>1991</c:v>
                </c:pt>
                <c:pt idx="1">
                  <c:v>2001</c:v>
                </c:pt>
                <c:pt idx="2">
                  <c:v>2008</c:v>
                </c:pt>
              </c:numCache>
            </c:numRef>
          </c:cat>
          <c:val>
            <c:numRef>
              <c:f>List1!$P$11:$R$11</c:f>
              <c:numCache>
                <c:formatCode>0.00</c:formatCode>
                <c:ptCount val="3"/>
                <c:pt idx="0" formatCode="General">
                  <c:v>100</c:v>
                </c:pt>
                <c:pt idx="1">
                  <c:v>126.3002599781382</c:v>
                </c:pt>
                <c:pt idx="2">
                  <c:v>145.21176154883946</c:v>
                </c:pt>
              </c:numCache>
            </c:numRef>
          </c:val>
          <c:smooth val="0"/>
        </c:ser>
        <c:ser>
          <c:idx val="9"/>
          <c:order val="9"/>
          <c:tx>
            <c:strRef>
              <c:f>List1!$O$12</c:f>
              <c:strCache>
                <c:ptCount val="1"/>
                <c:pt idx="0">
                  <c:v>Púna</c:v>
                </c:pt>
              </c:strCache>
            </c:strRef>
          </c:tx>
          <c:spPr>
            <a:ln w="12700">
              <a:solidFill>
                <a:srgbClr val="FF9900"/>
              </a:solidFill>
              <a:prstDash val="solid"/>
            </a:ln>
          </c:spPr>
          <c:marker>
            <c:symbol val="circle"/>
            <c:size val="4"/>
            <c:spPr>
              <a:solidFill>
                <a:srgbClr val="FF9900"/>
              </a:solidFill>
              <a:ln>
                <a:solidFill>
                  <a:srgbClr val="FF9900"/>
                </a:solidFill>
                <a:prstDash val="solid"/>
              </a:ln>
            </c:spPr>
          </c:marker>
          <c:cat>
            <c:numRef>
              <c:f>List1!$P$2:$R$2</c:f>
              <c:numCache>
                <c:formatCode>General</c:formatCode>
                <c:ptCount val="3"/>
                <c:pt idx="0">
                  <c:v>1991</c:v>
                </c:pt>
                <c:pt idx="1">
                  <c:v>2001</c:v>
                </c:pt>
                <c:pt idx="2">
                  <c:v>2008</c:v>
                </c:pt>
              </c:numCache>
            </c:numRef>
          </c:cat>
          <c:val>
            <c:numRef>
              <c:f>List1!$P$12:$R$12</c:f>
              <c:numCache>
                <c:formatCode>0.00</c:formatCode>
                <c:ptCount val="3"/>
                <c:pt idx="0" formatCode="General">
                  <c:v>100</c:v>
                </c:pt>
                <c:pt idx="1">
                  <c:v>162.03181180747978</c:v>
                </c:pt>
                <c:pt idx="2">
                  <c:v>206.19282788572568</c:v>
                </c:pt>
              </c:numCache>
            </c:numRef>
          </c:val>
          <c:smooth val="0"/>
        </c:ser>
        <c:ser>
          <c:idx val="10"/>
          <c:order val="10"/>
          <c:tx>
            <c:strRef>
              <c:f>List1!$O$13</c:f>
              <c:strCache>
                <c:ptCount val="1"/>
                <c:pt idx="0">
                  <c:v>Surat</c:v>
                </c:pt>
              </c:strCache>
            </c:strRef>
          </c:tx>
          <c:spPr>
            <a:ln w="12700">
              <a:solidFill>
                <a:srgbClr val="00FF00"/>
              </a:solidFill>
              <a:prstDash val="solid"/>
            </a:ln>
          </c:spPr>
          <c:marker>
            <c:symbol val="circle"/>
            <c:size val="4"/>
            <c:spPr>
              <a:solidFill>
                <a:srgbClr val="00FF00"/>
              </a:solidFill>
              <a:ln>
                <a:solidFill>
                  <a:srgbClr val="00FF00"/>
                </a:solidFill>
                <a:prstDash val="solid"/>
              </a:ln>
            </c:spPr>
          </c:marker>
          <c:cat>
            <c:numRef>
              <c:f>List1!$P$2:$R$2</c:f>
              <c:numCache>
                <c:formatCode>General</c:formatCode>
                <c:ptCount val="3"/>
                <c:pt idx="0">
                  <c:v>1991</c:v>
                </c:pt>
                <c:pt idx="1">
                  <c:v>2001</c:v>
                </c:pt>
                <c:pt idx="2">
                  <c:v>2008</c:v>
                </c:pt>
              </c:numCache>
            </c:numRef>
          </c:cat>
          <c:val>
            <c:numRef>
              <c:f>List1!$P$13:$R$13</c:f>
              <c:numCache>
                <c:formatCode>0.00</c:formatCode>
                <c:ptCount val="3"/>
                <c:pt idx="0" formatCode="General">
                  <c:v>100</c:v>
                </c:pt>
                <c:pt idx="1">
                  <c:v>162.38373330433268</c:v>
                </c:pt>
                <c:pt idx="2">
                  <c:v>208.44766238973804</c:v>
                </c:pt>
              </c:numCache>
            </c:numRef>
          </c:val>
          <c:smooth val="0"/>
        </c:ser>
        <c:dLbls>
          <c:showLegendKey val="0"/>
          <c:showVal val="0"/>
          <c:showCatName val="0"/>
          <c:showSerName val="0"/>
          <c:showPercent val="0"/>
          <c:showBubbleSize val="0"/>
        </c:dLbls>
        <c:marker val="1"/>
        <c:smooth val="0"/>
        <c:axId val="229686656"/>
        <c:axId val="229709696"/>
      </c:lineChart>
      <c:catAx>
        <c:axId val="229686656"/>
        <c:scaling>
          <c:orientation val="minMax"/>
        </c:scaling>
        <c:delete val="0"/>
        <c:axPos val="b"/>
        <c:title>
          <c:tx>
            <c:rich>
              <a:bodyPr/>
              <a:lstStyle/>
              <a:p>
                <a:pPr>
                  <a:defRPr sz="575" b="1" i="0" u="none" strike="noStrike" baseline="0">
                    <a:solidFill>
                      <a:srgbClr val="000000"/>
                    </a:solidFill>
                    <a:latin typeface="Arial"/>
                    <a:ea typeface="Arial"/>
                    <a:cs typeface="Arial"/>
                  </a:defRPr>
                </a:pPr>
                <a:r>
                  <a:rPr lang="cs-CZ"/>
                  <a:t>Rok</a:t>
                </a:r>
              </a:p>
            </c:rich>
          </c:tx>
          <c:layout>
            <c:manualLayout>
              <c:xMode val="edge"/>
              <c:yMode val="edge"/>
              <c:x val="0.71105527638190957"/>
              <c:y val="0.91695501730103801"/>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575" b="0" i="0" u="none" strike="noStrike" baseline="0">
                <a:solidFill>
                  <a:srgbClr val="000000"/>
                </a:solidFill>
                <a:latin typeface="Arial"/>
                <a:ea typeface="Arial"/>
                <a:cs typeface="Arial"/>
              </a:defRPr>
            </a:pPr>
            <a:endParaRPr lang="cs-CZ"/>
          </a:p>
        </c:txPr>
        <c:crossAx val="229709696"/>
        <c:crossesAt val="100"/>
        <c:auto val="1"/>
        <c:lblAlgn val="ctr"/>
        <c:lblOffset val="100"/>
        <c:tickLblSkip val="1"/>
        <c:tickMarkSkip val="1"/>
        <c:noMultiLvlLbl val="0"/>
      </c:catAx>
      <c:valAx>
        <c:axId val="229709696"/>
        <c:scaling>
          <c:orientation val="minMax"/>
          <c:min val="100"/>
        </c:scaling>
        <c:delete val="0"/>
        <c:axPos val="l"/>
        <c:majorGridlines>
          <c:spPr>
            <a:ln w="3175">
              <a:solidFill>
                <a:srgbClr val="969696"/>
              </a:solidFill>
              <a:prstDash val="solid"/>
            </a:ln>
          </c:spPr>
        </c:majorGridlines>
        <c:title>
          <c:tx>
            <c:rich>
              <a:bodyPr/>
              <a:lstStyle/>
              <a:p>
                <a:pPr>
                  <a:defRPr sz="575" b="1" i="0" u="none" strike="noStrike" baseline="0">
                    <a:solidFill>
                      <a:srgbClr val="000000"/>
                    </a:solidFill>
                    <a:latin typeface="Arial"/>
                    <a:ea typeface="Arial"/>
                    <a:cs typeface="Arial"/>
                  </a:defRPr>
                </a:pPr>
                <a:r>
                  <a:rPr lang="cs-CZ"/>
                  <a:t>Bazický index</a:t>
                </a:r>
              </a:p>
            </c:rich>
          </c:tx>
          <c:layout>
            <c:manualLayout>
              <c:xMode val="edge"/>
              <c:yMode val="edge"/>
              <c:x val="2.2613065326633167E-2"/>
              <c:y val="0.22837370242214533"/>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575" b="0" i="0" u="none" strike="noStrike" baseline="0">
                <a:solidFill>
                  <a:srgbClr val="000000"/>
                </a:solidFill>
                <a:latin typeface="Arial"/>
                <a:ea typeface="Arial"/>
                <a:cs typeface="Arial"/>
              </a:defRPr>
            </a:pPr>
            <a:endParaRPr lang="cs-CZ"/>
          </a:p>
        </c:txPr>
        <c:crossAx val="229686656"/>
        <c:crosses val="autoZero"/>
        <c:crossBetween val="midCat"/>
        <c:majorUnit val="20"/>
      </c:valAx>
      <c:spPr>
        <a:solidFill>
          <a:srgbClr val="C0C0C0"/>
        </a:solidFill>
        <a:ln w="12700">
          <a:solidFill>
            <a:srgbClr val="808080"/>
          </a:solidFill>
          <a:prstDash val="solid"/>
        </a:ln>
      </c:spPr>
    </c:plotArea>
    <c:legend>
      <c:legendPos val="r"/>
      <c:layout>
        <c:manualLayout>
          <c:xMode val="edge"/>
          <c:yMode val="edge"/>
          <c:x val="0.81155778894472363"/>
          <c:y val="0.26989619377162632"/>
          <c:w val="0.16331658291457288"/>
          <c:h val="0.46020761245674741"/>
        </c:manualLayout>
      </c:layout>
      <c:overlay val="0"/>
      <c:spPr>
        <a:solidFill>
          <a:srgbClr val="FFFFFF"/>
        </a:solidFill>
        <a:ln w="3175">
          <a:solidFill>
            <a:srgbClr val="000000"/>
          </a:solidFill>
          <a:prstDash val="solid"/>
        </a:ln>
      </c:spPr>
      <c:txPr>
        <a:bodyPr/>
        <a:lstStyle/>
        <a:p>
          <a:pPr>
            <a:defRPr sz="435" b="0" i="0" u="none" strike="noStrike" baseline="0">
              <a:solidFill>
                <a:srgbClr val="000000"/>
              </a:solidFill>
              <a:latin typeface="Arial"/>
              <a:ea typeface="Arial"/>
              <a:cs typeface="Arial"/>
            </a:defRPr>
          </a:pPr>
          <a:endParaRPr lang="cs-CZ"/>
        </a:p>
      </c:txPr>
    </c:legend>
    <c:plotVisOnly val="1"/>
    <c:dispBlanksAs val="gap"/>
    <c:showDLblsOverMax val="0"/>
  </c:chart>
  <c:spPr>
    <a:solidFill>
      <a:srgbClr val="FFFFFF"/>
    </a:solidFill>
    <a:ln w="3175">
      <a:solidFill>
        <a:srgbClr val="000000"/>
      </a:solidFill>
      <a:prstDash val="solid"/>
    </a:ln>
  </c:spPr>
  <c:txPr>
    <a:bodyPr/>
    <a:lstStyle/>
    <a:p>
      <a:pPr>
        <a:defRPr sz="825" b="0" i="0" u="none" strike="noStrike" baseline="0">
          <a:solidFill>
            <a:srgbClr val="000000"/>
          </a:solidFill>
          <a:latin typeface="Arial"/>
          <a:ea typeface="Arial"/>
          <a:cs typeface="Arial"/>
        </a:defRPr>
      </a:pPr>
      <a:endParaRPr lang="cs-CZ"/>
    </a:p>
  </c:txPr>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Arial Unicode MS">
    <w:panose1 w:val="020B0604020202020204"/>
    <w:charset w:val="80"/>
    <w:family w:val="swiss"/>
    <w:pitch w:val="variable"/>
    <w:sig w:usb0="F7FFAFFF" w:usb1="E9DFFFFF" w:usb2="0000003F" w:usb3="00000000" w:csb0="003F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6230"/>
    <w:rsid w:val="000C1B8E"/>
    <w:rsid w:val="001D29C6"/>
    <w:rsid w:val="008F7B11"/>
    <w:rsid w:val="00A36230"/>
    <w:rsid w:val="00C73CF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5EB296B1A52D48C2B39C3AF7859D3121">
    <w:name w:val="5EB296B1A52D48C2B39C3AF7859D3121"/>
    <w:rsid w:val="00A36230"/>
  </w:style>
  <w:style w:type="paragraph" w:customStyle="1" w:styleId="C13ABEEA0969492AA6D4AD628982EDBF">
    <w:name w:val="C13ABEEA0969492AA6D4AD628982EDBF"/>
    <w:rsid w:val="00A36230"/>
  </w:style>
  <w:style w:type="paragraph" w:customStyle="1" w:styleId="236F525144D741E99E41386023205B37">
    <w:name w:val="236F525144D741E99E41386023205B37"/>
    <w:rsid w:val="00A36230"/>
  </w:style>
  <w:style w:type="paragraph" w:customStyle="1" w:styleId="4FEBDD8E8BAF490C93F03B2BDED59B20">
    <w:name w:val="4FEBDD8E8BAF490C93F03B2BDED59B20"/>
    <w:rsid w:val="00A36230"/>
  </w:style>
  <w:style w:type="paragraph" w:customStyle="1" w:styleId="CDF58EE49BD849268EA9DBAB2CD8F3E1">
    <w:name w:val="CDF58EE49BD849268EA9DBAB2CD8F3E1"/>
    <w:rsid w:val="00A36230"/>
  </w:style>
  <w:style w:type="paragraph" w:customStyle="1" w:styleId="F1DBAA70F8484EAB8971CDB22D9E9C13">
    <w:name w:val="F1DBAA70F8484EAB8971CDB22D9E9C13"/>
    <w:rsid w:val="00A36230"/>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5EB296B1A52D48C2B39C3AF7859D3121">
    <w:name w:val="5EB296B1A52D48C2B39C3AF7859D3121"/>
    <w:rsid w:val="00A36230"/>
  </w:style>
  <w:style w:type="paragraph" w:customStyle="1" w:styleId="C13ABEEA0969492AA6D4AD628982EDBF">
    <w:name w:val="C13ABEEA0969492AA6D4AD628982EDBF"/>
    <w:rsid w:val="00A36230"/>
  </w:style>
  <w:style w:type="paragraph" w:customStyle="1" w:styleId="236F525144D741E99E41386023205B37">
    <w:name w:val="236F525144D741E99E41386023205B37"/>
    <w:rsid w:val="00A36230"/>
  </w:style>
  <w:style w:type="paragraph" w:customStyle="1" w:styleId="4FEBDD8E8BAF490C93F03B2BDED59B20">
    <w:name w:val="4FEBDD8E8BAF490C93F03B2BDED59B20"/>
    <w:rsid w:val="00A36230"/>
  </w:style>
  <w:style w:type="paragraph" w:customStyle="1" w:styleId="CDF58EE49BD849268EA9DBAB2CD8F3E1">
    <w:name w:val="CDF58EE49BD849268EA9DBAB2CD8F3E1"/>
    <w:rsid w:val="00A36230"/>
  </w:style>
  <w:style w:type="paragraph" w:customStyle="1" w:styleId="F1DBAA70F8484EAB8971CDB22D9E9C13">
    <w:name w:val="F1DBAA70F8484EAB8971CDB22D9E9C13"/>
    <w:rsid w:val="00A3623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2013-07-01T00:00:00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52D5AA6-637D-4545-83AF-C0C8004FDC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133</Pages>
  <Words>46828</Words>
  <Characters>276292</Characters>
  <Application>Microsoft Office Word</Application>
  <DocSecurity>0</DocSecurity>
  <Lines>2302</Lines>
  <Paragraphs>644</Paragraphs>
  <ScaleCrop>false</ScaleCrop>
  <HeadingPairs>
    <vt:vector size="2" baseType="variant">
      <vt:variant>
        <vt:lpstr>Název</vt:lpstr>
      </vt:variant>
      <vt:variant>
        <vt:i4>1</vt:i4>
      </vt:variant>
    </vt:vector>
  </HeadingPairs>
  <TitlesOfParts>
    <vt:vector size="1" baseType="lpstr">
      <vt:lpstr>Globalizace</vt:lpstr>
    </vt:vector>
  </TitlesOfParts>
  <Company>Microsoft</Company>
  <LinksUpToDate>false</LinksUpToDate>
  <CharactersWithSpaces>322476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Globalizace</dc:title>
  <dc:subject>sborník ke globalizačnímu semináři</dc:subject>
  <dc:creator>gú přf mu</dc:creator>
  <cp:lastModifiedBy>Petr</cp:lastModifiedBy>
  <cp:revision>2</cp:revision>
  <dcterms:created xsi:type="dcterms:W3CDTF">2013-12-04T10:13:00Z</dcterms:created>
  <dcterms:modified xsi:type="dcterms:W3CDTF">2013-12-04T10:13:00Z</dcterms:modified>
</cp:coreProperties>
</file>